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9762" w14:textId="20B37F2C" w:rsidR="00523F00" w:rsidRPr="00523F00" w:rsidRDefault="00523F00" w:rsidP="009529B7">
      <w:pPr>
        <w:pBdr>
          <w:top w:val="nil"/>
          <w:left w:val="nil"/>
          <w:bottom w:val="nil"/>
          <w:right w:val="nil"/>
          <w:between w:val="nil"/>
        </w:pBdr>
        <w:spacing w:after="240" w:line="360" w:lineRule="auto"/>
        <w:jc w:val="both"/>
        <w:rPr>
          <w:rFonts w:ascii="Arial" w:eastAsia="Calibri" w:hAnsi="Arial" w:cs="Arial"/>
          <w:b/>
          <w:color w:val="000000"/>
        </w:rPr>
      </w:pPr>
      <w:r w:rsidRPr="00523F00">
        <w:rPr>
          <w:rFonts w:ascii="Arial" w:eastAsia="Calibri" w:hAnsi="Arial" w:cs="Arial"/>
          <w:b/>
          <w:color w:val="000000"/>
        </w:rPr>
        <w:t xml:space="preserve">AO JUÍZO DA VARA </w:t>
      </w:r>
      <w:r w:rsidRPr="00523F00">
        <w:rPr>
          <w:rFonts w:ascii="Arial" w:eastAsia="Calibri" w:hAnsi="Arial" w:cs="Arial"/>
          <w:b/>
        </w:rPr>
        <w:t xml:space="preserve">CÍVEL </w:t>
      </w:r>
      <w:r w:rsidRPr="00523F00">
        <w:rPr>
          <w:rFonts w:ascii="Arial" w:eastAsia="Calibri" w:hAnsi="Arial" w:cs="Arial"/>
          <w:b/>
          <w:color w:val="000000"/>
        </w:rPr>
        <w:t>DA COMARCA DE [NOME DA COMARCA] – ESTADO DE MINAS GERAIS</w:t>
      </w:r>
    </w:p>
    <w:p w14:paraId="41BDAD7D" w14:textId="77777777" w:rsidR="00523F00" w:rsidRDefault="00523F00" w:rsidP="009529B7">
      <w:pPr>
        <w:pBdr>
          <w:top w:val="nil"/>
          <w:left w:val="nil"/>
          <w:bottom w:val="nil"/>
          <w:right w:val="nil"/>
          <w:between w:val="nil"/>
        </w:pBdr>
        <w:spacing w:after="240" w:line="360" w:lineRule="auto"/>
        <w:jc w:val="both"/>
        <w:rPr>
          <w:rFonts w:ascii="Arial" w:eastAsia="Calibri" w:hAnsi="Arial" w:cs="Arial"/>
          <w:b/>
          <w:color w:val="000000"/>
        </w:rPr>
      </w:pPr>
    </w:p>
    <w:p w14:paraId="3517A831" w14:textId="77777777" w:rsidR="0061068E" w:rsidRDefault="0061068E" w:rsidP="009529B7">
      <w:pPr>
        <w:pBdr>
          <w:top w:val="nil"/>
          <w:left w:val="nil"/>
          <w:bottom w:val="nil"/>
          <w:right w:val="nil"/>
          <w:between w:val="nil"/>
        </w:pBdr>
        <w:spacing w:after="240" w:line="360" w:lineRule="auto"/>
        <w:jc w:val="both"/>
        <w:rPr>
          <w:rFonts w:ascii="Arial" w:eastAsia="Calibri" w:hAnsi="Arial" w:cs="Arial"/>
          <w:b/>
          <w:color w:val="000000"/>
        </w:rPr>
      </w:pPr>
    </w:p>
    <w:p w14:paraId="56AC28DC" w14:textId="445D6290" w:rsidR="00523F00" w:rsidRDefault="00523F00" w:rsidP="009529B7">
      <w:pPr>
        <w:pBdr>
          <w:top w:val="nil"/>
          <w:left w:val="nil"/>
          <w:bottom w:val="nil"/>
          <w:right w:val="nil"/>
          <w:between w:val="nil"/>
        </w:pBdr>
        <w:spacing w:after="240" w:line="360" w:lineRule="auto"/>
        <w:jc w:val="both"/>
        <w:rPr>
          <w:rFonts w:ascii="Arial" w:hAnsi="Arial" w:cs="Arial"/>
        </w:rPr>
      </w:pPr>
      <w:r w:rsidRPr="00523F00">
        <w:rPr>
          <w:rFonts w:ascii="Arial" w:hAnsi="Arial" w:cs="Arial"/>
        </w:rPr>
        <w:t xml:space="preserve">A </w:t>
      </w:r>
      <w:r w:rsidRPr="00523F00">
        <w:rPr>
          <w:rFonts w:ascii="Arial" w:hAnsi="Arial" w:cs="Arial"/>
          <w:b/>
          <w:bCs/>
        </w:rPr>
        <w:t>DEFENSORIA PÚBLICA DO ESTADO DE MINAS GERAIS</w:t>
      </w:r>
      <w:r w:rsidRPr="00523F00">
        <w:rPr>
          <w:rFonts w:ascii="Arial" w:hAnsi="Arial" w:cs="Arial"/>
        </w:rPr>
        <w:t xml:space="preserve">, nos termos do art. 134, </w:t>
      </w:r>
      <w:r w:rsidRPr="00523F00">
        <w:rPr>
          <w:rFonts w:ascii="Arial" w:hAnsi="Arial" w:cs="Arial"/>
          <w:i/>
          <w:iCs/>
        </w:rPr>
        <w:t>caput</w:t>
      </w:r>
      <w:r w:rsidRPr="00523F00">
        <w:rPr>
          <w:rFonts w:ascii="Arial" w:hAnsi="Arial" w:cs="Arial"/>
        </w:rPr>
        <w:t xml:space="preserve"> e § 2º, da Constituição da República de 1988, por intermédio do(a) Defensor(a) Público(a) que subscreve</w:t>
      </w:r>
      <w:r w:rsidR="00F523BA">
        <w:rPr>
          <w:rFonts w:ascii="Arial" w:hAnsi="Arial" w:cs="Arial"/>
        </w:rPr>
        <w:t xml:space="preserve"> ao final</w:t>
      </w:r>
      <w:r w:rsidRPr="00523F00">
        <w:rPr>
          <w:rFonts w:ascii="Arial" w:hAnsi="Arial" w:cs="Arial"/>
        </w:rPr>
        <w:t>, com fulcro na Lei nº 7.347/85 (Lei da Ação Civil Pública), no art. 4º, incisos VII, VIII, X e XI da Lei Complementar Federal nº 80/94, e na Lei Complementar Estadual nº 65/2003, vem</w:t>
      </w:r>
      <w:r w:rsidR="00F523BA">
        <w:rPr>
          <w:rFonts w:ascii="Arial" w:hAnsi="Arial" w:cs="Arial"/>
        </w:rPr>
        <w:t xml:space="preserve"> </w:t>
      </w:r>
      <w:r w:rsidRPr="00523F00">
        <w:rPr>
          <w:rFonts w:ascii="Arial" w:hAnsi="Arial" w:cs="Arial"/>
        </w:rPr>
        <w:t>ajuizar a presente</w:t>
      </w:r>
    </w:p>
    <w:p w14:paraId="5FCF7F5E" w14:textId="77777777" w:rsidR="00523F00" w:rsidRPr="00523F00" w:rsidRDefault="00523F00" w:rsidP="009529B7">
      <w:pPr>
        <w:pBdr>
          <w:top w:val="nil"/>
          <w:left w:val="nil"/>
          <w:bottom w:val="nil"/>
          <w:right w:val="nil"/>
          <w:between w:val="nil"/>
        </w:pBdr>
        <w:spacing w:after="240" w:line="360" w:lineRule="auto"/>
        <w:jc w:val="both"/>
        <w:rPr>
          <w:rFonts w:ascii="Arial" w:hAnsi="Arial" w:cs="Arial"/>
        </w:rPr>
      </w:pPr>
    </w:p>
    <w:p w14:paraId="25A87470" w14:textId="0084F00C" w:rsidR="00523F00" w:rsidRDefault="00523F00" w:rsidP="009529B7">
      <w:pPr>
        <w:pBdr>
          <w:top w:val="nil"/>
          <w:left w:val="nil"/>
          <w:bottom w:val="nil"/>
          <w:right w:val="nil"/>
          <w:between w:val="nil"/>
        </w:pBdr>
        <w:spacing w:after="240" w:line="360" w:lineRule="auto"/>
        <w:jc w:val="center"/>
        <w:rPr>
          <w:rFonts w:ascii="Arial" w:hAnsi="Arial" w:cs="Arial"/>
          <w:b/>
          <w:bCs/>
        </w:rPr>
      </w:pPr>
      <w:r w:rsidRPr="00523F00">
        <w:rPr>
          <w:rFonts w:ascii="Arial" w:hAnsi="Arial" w:cs="Arial"/>
          <w:b/>
          <w:bCs/>
        </w:rPr>
        <w:t>AÇÃO CIVIL PÚBLICA DE PROCESSO ESTRUTURAL</w:t>
      </w:r>
      <w:r w:rsidRPr="00523F00">
        <w:rPr>
          <w:rFonts w:ascii="Arial" w:hAnsi="Arial" w:cs="Arial"/>
        </w:rPr>
        <w:t xml:space="preserve"> </w:t>
      </w:r>
      <w:r w:rsidRPr="00523F00">
        <w:rPr>
          <w:rFonts w:ascii="Arial" w:hAnsi="Arial" w:cs="Arial"/>
          <w:b/>
          <w:bCs/>
        </w:rPr>
        <w:t>COMINATÓRIA DE OBRIGAÇÕES DE FAZER E NÃO FAZER</w:t>
      </w:r>
      <w:r w:rsidRPr="00523F00">
        <w:rPr>
          <w:rFonts w:ascii="Arial" w:hAnsi="Arial" w:cs="Arial"/>
        </w:rPr>
        <w:t xml:space="preserve"> </w:t>
      </w:r>
      <w:r w:rsidRPr="00523F00">
        <w:rPr>
          <w:rFonts w:ascii="Arial" w:hAnsi="Arial" w:cs="Arial"/>
          <w:b/>
          <w:bCs/>
        </w:rPr>
        <w:t xml:space="preserve">COM PEDIDO DE TUTELA </w:t>
      </w:r>
      <w:r w:rsidR="0061068E">
        <w:rPr>
          <w:rFonts w:ascii="Arial" w:hAnsi="Arial" w:cs="Arial"/>
          <w:b/>
          <w:bCs/>
        </w:rPr>
        <w:t>DE URGÊNCIA</w:t>
      </w:r>
    </w:p>
    <w:p w14:paraId="2065371A" w14:textId="77777777" w:rsidR="00523F00" w:rsidRPr="00523F00" w:rsidRDefault="00523F00" w:rsidP="009529B7">
      <w:pPr>
        <w:pBdr>
          <w:top w:val="nil"/>
          <w:left w:val="nil"/>
          <w:bottom w:val="nil"/>
          <w:right w:val="nil"/>
          <w:between w:val="nil"/>
        </w:pBdr>
        <w:spacing w:after="240" w:line="360" w:lineRule="auto"/>
        <w:jc w:val="both"/>
        <w:rPr>
          <w:rFonts w:ascii="Arial" w:hAnsi="Arial" w:cs="Arial"/>
        </w:rPr>
      </w:pPr>
    </w:p>
    <w:p w14:paraId="4A87B179" w14:textId="77777777" w:rsidR="00523F00" w:rsidRDefault="00523F00" w:rsidP="009529B7">
      <w:pPr>
        <w:pBdr>
          <w:top w:val="nil"/>
          <w:left w:val="nil"/>
          <w:bottom w:val="nil"/>
          <w:right w:val="nil"/>
          <w:between w:val="nil"/>
        </w:pBdr>
        <w:spacing w:after="240" w:line="360" w:lineRule="auto"/>
        <w:jc w:val="both"/>
        <w:rPr>
          <w:rFonts w:ascii="Arial" w:hAnsi="Arial" w:cs="Arial"/>
        </w:rPr>
      </w:pPr>
      <w:r w:rsidRPr="00523F00">
        <w:rPr>
          <w:rFonts w:ascii="Arial" w:hAnsi="Arial" w:cs="Arial"/>
        </w:rPr>
        <w:t xml:space="preserve">em face do </w:t>
      </w:r>
      <w:r w:rsidRPr="00523F00">
        <w:rPr>
          <w:rFonts w:ascii="Arial" w:hAnsi="Arial" w:cs="Arial"/>
          <w:b/>
          <w:bCs/>
        </w:rPr>
        <w:t>MUNICÍPIO DE [NOME DO MUNICÍPIO]</w:t>
      </w:r>
      <w:r w:rsidRPr="00523F00">
        <w:rPr>
          <w:rFonts w:ascii="Arial" w:hAnsi="Arial" w:cs="Arial"/>
        </w:rPr>
        <w:t>, pessoa jurídica de direito público interno, inscrito no CNPJ sob o nº [Inserir CNPJ], com sede administrativa na [Inserir Endereço da Prefeitura], representado judicialmente por seu Procurador-Geral, pelas razões de fato e de direito a seguir expostas, de forma pormenorizada e exaustiva.</w:t>
      </w:r>
    </w:p>
    <w:p w14:paraId="04115185" w14:textId="77777777" w:rsidR="0061068E" w:rsidRPr="00523F00" w:rsidRDefault="0061068E" w:rsidP="009529B7">
      <w:pPr>
        <w:pBdr>
          <w:top w:val="nil"/>
          <w:left w:val="nil"/>
          <w:bottom w:val="nil"/>
          <w:right w:val="nil"/>
          <w:between w:val="nil"/>
        </w:pBdr>
        <w:spacing w:after="240" w:line="360" w:lineRule="auto"/>
        <w:jc w:val="both"/>
        <w:rPr>
          <w:rFonts w:ascii="Arial" w:hAnsi="Arial" w:cs="Arial"/>
        </w:rPr>
      </w:pPr>
    </w:p>
    <w:p w14:paraId="52B03F0E" w14:textId="26166AF5" w:rsidR="00523F00" w:rsidRPr="00523F00" w:rsidRDefault="00523F00" w:rsidP="009529B7">
      <w:pPr>
        <w:pBdr>
          <w:top w:val="nil"/>
          <w:left w:val="nil"/>
          <w:bottom w:val="nil"/>
          <w:right w:val="nil"/>
          <w:between w:val="nil"/>
        </w:pBdr>
        <w:spacing w:after="240" w:line="360" w:lineRule="auto"/>
        <w:jc w:val="both"/>
        <w:rPr>
          <w:rFonts w:ascii="Arial" w:hAnsi="Arial" w:cs="Arial"/>
          <w:b/>
          <w:bCs/>
        </w:rPr>
      </w:pPr>
      <w:r w:rsidRPr="00523F00">
        <w:rPr>
          <w:rFonts w:ascii="Arial" w:hAnsi="Arial" w:cs="Arial"/>
          <w:b/>
          <w:bCs/>
        </w:rPr>
        <w:t>I. SÍNTESE DA DEMANDA</w:t>
      </w:r>
    </w:p>
    <w:p w14:paraId="74D3FEF1" w14:textId="77777777" w:rsidR="0031249B" w:rsidRPr="0031249B" w:rsidRDefault="0031249B" w:rsidP="009529B7">
      <w:pPr>
        <w:pBdr>
          <w:top w:val="nil"/>
          <w:left w:val="nil"/>
          <w:bottom w:val="nil"/>
          <w:right w:val="nil"/>
          <w:between w:val="nil"/>
        </w:pBdr>
        <w:spacing w:after="240" w:line="360" w:lineRule="auto"/>
        <w:jc w:val="both"/>
        <w:rPr>
          <w:rFonts w:ascii="Arial" w:hAnsi="Arial" w:cs="Arial"/>
        </w:rPr>
      </w:pPr>
      <w:r w:rsidRPr="0031249B">
        <w:rPr>
          <w:rFonts w:ascii="Arial" w:hAnsi="Arial" w:cs="Arial"/>
        </w:rPr>
        <w:t>A presente Ação Civil Pública possui natureza estrutural e objetiva sanar quadro persistente de omissões administrativas que comprometem a implementação da política pública municipal de saúde mental, em manifesta afronta à Constituição da República, à Lei nº 10.216/2001, às normas que disciplinam a Rede de Atenção Psicossocial – RAPS e aos compromissos internacionais assumidos pelo Estado brasileiro em matéria de direitos humanos.</w:t>
      </w:r>
    </w:p>
    <w:p w14:paraId="03E85299" w14:textId="0CFCA7B3" w:rsidR="0031249B" w:rsidRPr="0031249B" w:rsidRDefault="0031249B" w:rsidP="009529B7">
      <w:pPr>
        <w:pBdr>
          <w:top w:val="nil"/>
          <w:left w:val="nil"/>
          <w:bottom w:val="nil"/>
          <w:right w:val="nil"/>
          <w:between w:val="nil"/>
        </w:pBdr>
        <w:spacing w:after="240" w:line="360" w:lineRule="auto"/>
        <w:jc w:val="both"/>
        <w:rPr>
          <w:rFonts w:ascii="Arial" w:hAnsi="Arial" w:cs="Arial"/>
        </w:rPr>
      </w:pPr>
      <w:r w:rsidRPr="0031249B">
        <w:rPr>
          <w:rFonts w:ascii="Arial" w:hAnsi="Arial" w:cs="Arial"/>
        </w:rPr>
        <w:t xml:space="preserve">O objeto da presente ação consiste na superação de falhas estruturais existentes na organização da política pública municipal de saúde mental, responsáveis por produzir </w:t>
      </w:r>
      <w:r w:rsidRPr="0031249B">
        <w:rPr>
          <w:rFonts w:ascii="Arial" w:hAnsi="Arial" w:cs="Arial"/>
        </w:rPr>
        <w:lastRenderedPageBreak/>
        <w:t>sucessivas violações de direitos fundamentais de toda a coletividade de pessoas com transtornos mentais, sofrimento psíquico persistente, deficiência psicossocial, usuários de álcool e outras drogas, bem como de seus familiares.</w:t>
      </w:r>
    </w:p>
    <w:p w14:paraId="02B5728E" w14:textId="77777777" w:rsidR="0031249B" w:rsidRPr="0031249B" w:rsidRDefault="0031249B" w:rsidP="009529B7">
      <w:pPr>
        <w:pBdr>
          <w:top w:val="nil"/>
          <w:left w:val="nil"/>
          <w:bottom w:val="nil"/>
          <w:right w:val="nil"/>
          <w:between w:val="nil"/>
        </w:pBdr>
        <w:spacing w:after="240" w:line="360" w:lineRule="auto"/>
        <w:jc w:val="both"/>
        <w:rPr>
          <w:rFonts w:ascii="Arial" w:hAnsi="Arial" w:cs="Arial"/>
        </w:rPr>
      </w:pPr>
      <w:r w:rsidRPr="0031249B">
        <w:rPr>
          <w:rFonts w:ascii="Arial" w:hAnsi="Arial" w:cs="Arial"/>
        </w:rPr>
        <w:t>A atuação jurisdicional ora provocada decorre da constatação de que os serviços públicos destinados ao atendimento dessa população permanecem fragmentados, insuficientes e desarticulados, inviabilizando o modelo de cuidado comunitário instituído pela Reforma Psiquiátrica brasileira.</w:t>
      </w:r>
    </w:p>
    <w:p w14:paraId="05F86331" w14:textId="53BA34E0" w:rsidR="0031249B" w:rsidRPr="0031249B" w:rsidRDefault="0031249B" w:rsidP="009529B7">
      <w:pPr>
        <w:pBdr>
          <w:top w:val="nil"/>
          <w:left w:val="nil"/>
          <w:bottom w:val="nil"/>
          <w:right w:val="nil"/>
          <w:between w:val="nil"/>
        </w:pBdr>
        <w:spacing w:after="240" w:line="360" w:lineRule="auto"/>
        <w:jc w:val="both"/>
        <w:rPr>
          <w:rFonts w:ascii="Arial" w:hAnsi="Arial" w:cs="Arial"/>
        </w:rPr>
      </w:pPr>
      <w:r w:rsidRPr="0031249B">
        <w:rPr>
          <w:rFonts w:ascii="Arial" w:hAnsi="Arial" w:cs="Arial"/>
        </w:rPr>
        <w:t xml:space="preserve">Em vez de assegurar atendimento territorial, contínuo e interdisciplinar, verifica-se que a deficiência estrutural da Rede de Atenção Psicossocial acaba induzindo usuários e familiares à busca exclusiva por internações psiquiátricas, muitas vezes compulsórias, como resposta única às crises decorrentes do sofrimento mental, reproduzindo lógica incompatível com o paradigma da atenção psicossocial instituído pela Lei nº 10.216/2001. </w:t>
      </w:r>
    </w:p>
    <w:p w14:paraId="5A887629" w14:textId="539AF658" w:rsidR="0031249B" w:rsidRPr="0031249B" w:rsidRDefault="0031249B" w:rsidP="009529B7">
      <w:pPr>
        <w:pBdr>
          <w:top w:val="nil"/>
          <w:left w:val="nil"/>
          <w:bottom w:val="nil"/>
          <w:right w:val="nil"/>
          <w:between w:val="nil"/>
        </w:pBdr>
        <w:spacing w:after="240" w:line="360" w:lineRule="auto"/>
        <w:jc w:val="both"/>
        <w:rPr>
          <w:rFonts w:ascii="Arial" w:hAnsi="Arial" w:cs="Arial"/>
        </w:rPr>
      </w:pPr>
      <w:r>
        <w:rPr>
          <w:rFonts w:ascii="Arial" w:hAnsi="Arial" w:cs="Arial"/>
        </w:rPr>
        <w:t>A ação, portanto, busca</w:t>
      </w:r>
      <w:r w:rsidRPr="0031249B">
        <w:rPr>
          <w:rFonts w:ascii="Arial" w:hAnsi="Arial" w:cs="Arial"/>
        </w:rPr>
        <w:t xml:space="preserve"> reorganizar a política pública municipal mediante planejamento, cronograma, fiscalização judicial permanente e implementação gradual das medidas necessárias ao funcionamento adequado da RAPS.</w:t>
      </w:r>
    </w:p>
    <w:p w14:paraId="5FA0AEB4" w14:textId="77777777" w:rsidR="0061068E" w:rsidRDefault="0061068E" w:rsidP="009529B7">
      <w:pPr>
        <w:pBdr>
          <w:top w:val="nil"/>
          <w:left w:val="nil"/>
          <w:bottom w:val="nil"/>
          <w:right w:val="nil"/>
          <w:between w:val="nil"/>
        </w:pBdr>
        <w:spacing w:after="240" w:line="360" w:lineRule="auto"/>
        <w:jc w:val="both"/>
        <w:rPr>
          <w:rFonts w:ascii="Arial" w:hAnsi="Arial" w:cs="Arial"/>
        </w:rPr>
      </w:pPr>
    </w:p>
    <w:p w14:paraId="1D05B902" w14:textId="0A92B712" w:rsidR="00DB570B" w:rsidRPr="007C2CA2" w:rsidRDefault="00DB570B" w:rsidP="009529B7">
      <w:pPr>
        <w:spacing w:after="240" w:line="360" w:lineRule="auto"/>
        <w:jc w:val="both"/>
        <w:rPr>
          <w:rFonts w:ascii="Arial" w:hAnsi="Arial" w:cs="Arial"/>
          <w:b/>
          <w:bCs/>
        </w:rPr>
      </w:pPr>
      <w:r>
        <w:rPr>
          <w:rFonts w:ascii="Arial" w:hAnsi="Arial" w:cs="Arial"/>
          <w:b/>
          <w:bCs/>
        </w:rPr>
        <w:t xml:space="preserve">II. </w:t>
      </w:r>
      <w:r w:rsidRPr="007C2CA2">
        <w:rPr>
          <w:rFonts w:ascii="Arial" w:hAnsi="Arial" w:cs="Arial"/>
          <w:b/>
          <w:bCs/>
        </w:rPr>
        <w:t>CONTEXTUALIZAÇÃO DA ATUAÇÃO DA DEFENSORIA PÚBLICA. APURAÇÃO DE VAZIOS ASSISTENCIAIS NA RAPS LOCAL. INSTAURAÇÃO DE PROCEDIMENTO ADMINISTRATIVO DE TUTELA COLETIVA (PTAC). DILIGÊNCIAS E DIAGNÓSTICO FÁTICO.</w:t>
      </w:r>
    </w:p>
    <w:p w14:paraId="5CAE8624" w14:textId="77777777" w:rsidR="00DB570B" w:rsidRPr="007C2CA2" w:rsidRDefault="00DB570B" w:rsidP="009529B7">
      <w:pPr>
        <w:spacing w:after="240" w:line="360" w:lineRule="auto"/>
        <w:jc w:val="both"/>
        <w:rPr>
          <w:rFonts w:ascii="Arial" w:hAnsi="Arial" w:cs="Arial"/>
        </w:rPr>
      </w:pPr>
      <w:r w:rsidRPr="007C2CA2">
        <w:rPr>
          <w:rFonts w:ascii="Arial" w:hAnsi="Arial" w:cs="Arial"/>
        </w:rPr>
        <w:t>A consolidação do direito à saúde mental no ordenamento jurídico brasileiro, impulsionada pela Lei nº 10.216/2001 (Lei da Reforma Psiquiátrica), estabeleceu a transição definitiva do modelo asilar e segregador para o modelo de cuidado comunitário e em liberdade. Contudo, a prática institucional e o atendimento na ponta revelam um cenário preocupante de desassistência estrutural na Rede de Atenção Psicossocial (RAPS) de [Nome do Município]/MG, propiciando a manutenção de gargalos assistenciais e a indução de pedidos de internação hospitalar e restrição de liberdade.</w:t>
      </w:r>
    </w:p>
    <w:p w14:paraId="2E5D0412" w14:textId="77777777" w:rsidR="00DB570B" w:rsidRPr="00E2700A" w:rsidRDefault="00DB570B" w:rsidP="009529B7">
      <w:pPr>
        <w:spacing w:after="240" w:line="360" w:lineRule="auto"/>
        <w:jc w:val="both"/>
        <w:rPr>
          <w:rFonts w:ascii="Arial" w:hAnsi="Arial" w:cs="Arial"/>
        </w:rPr>
      </w:pPr>
      <w:r w:rsidRPr="007C2CA2">
        <w:rPr>
          <w:rFonts w:ascii="Arial" w:hAnsi="Arial" w:cs="Arial"/>
        </w:rPr>
        <w:lastRenderedPageBreak/>
        <w:t xml:space="preserve">Diante desse panorama, a Defensoria </w:t>
      </w:r>
      <w:r w:rsidRPr="00E2700A">
        <w:rPr>
          <w:rFonts w:ascii="Arial" w:hAnsi="Arial" w:cs="Arial"/>
        </w:rPr>
        <w:t>Pública instaurou o Procedimento Administrativo de Tutela Coletiva - PTAC nº [NÚMERO]/[ANO] (SEI nº [NÚMERO DO PROCESSO SEI]), com o objetivo de diagnosticar, fiscalizar e promover a estruturação da política pública de saúde mental na esfera municipal.</w:t>
      </w:r>
    </w:p>
    <w:p w14:paraId="4171FD15" w14:textId="77777777" w:rsidR="00DB570B" w:rsidRPr="007C2CA2" w:rsidRDefault="00DB570B" w:rsidP="009529B7">
      <w:pPr>
        <w:spacing w:after="240" w:line="360" w:lineRule="auto"/>
        <w:jc w:val="both"/>
        <w:rPr>
          <w:rFonts w:ascii="Arial" w:hAnsi="Arial" w:cs="Arial"/>
        </w:rPr>
      </w:pPr>
      <w:r w:rsidRPr="007C2CA2">
        <w:rPr>
          <w:rFonts w:ascii="Arial" w:hAnsi="Arial" w:cs="Arial"/>
        </w:rPr>
        <w:t>Ao longo da instrução do referido procedimento, foram realizadas oitivas com usuários, familiares e entidades da sociedade civil, bem como vistorias técnicas e expedições de ofícios requisitórios à administração pública municipal. A análise integrada das informações colhidas demonstrou graves pontos de fragilidade e omissões na gestão da RAPS local, com destaque para os seguintes pontos críticos:</w:t>
      </w:r>
    </w:p>
    <w:p w14:paraId="1BE342D9" w14:textId="2C3B6E5A" w:rsidR="00DB570B" w:rsidRDefault="00DB570B" w:rsidP="009529B7">
      <w:pPr>
        <w:spacing w:after="240" w:line="360" w:lineRule="auto"/>
        <w:jc w:val="both"/>
        <w:rPr>
          <w:rFonts w:ascii="Arial" w:hAnsi="Arial" w:cs="Arial"/>
        </w:rPr>
      </w:pPr>
      <w:r w:rsidRPr="007C2CA2">
        <w:rPr>
          <w:rFonts w:ascii="Arial" w:hAnsi="Arial" w:cs="Arial"/>
          <w:b/>
          <w:bCs/>
        </w:rPr>
        <w:t>Inexistência / Insuficiência de CAPS III e CAPS AD III (24 Horas):</w:t>
      </w:r>
      <w:r w:rsidR="0045296E">
        <w:rPr>
          <w:rFonts w:ascii="Arial" w:hAnsi="Arial" w:cs="Arial"/>
          <w:b/>
          <w:bCs/>
        </w:rPr>
        <w:t xml:space="preserve"> </w:t>
      </w:r>
      <w:r w:rsidRPr="007C2CA2">
        <w:rPr>
          <w:rFonts w:ascii="Arial" w:hAnsi="Arial" w:cs="Arial"/>
        </w:rPr>
        <w:t>Apurou-se que o Município conta apenas com equipamentos de funcionamento exclusivamente diurno (CAPS I/II), desprovidos de leitos de acolhimento noturno e de observação para manejo de crises agudas e quadros severos de abstinência. A ausência de acolhimento 24 horas no território faz com que pacientes em crise sejam compulsoriamente encaminhados a portas de urgência (</w:t>
      </w:r>
      <w:proofErr w:type="spellStart"/>
      <w:r w:rsidRPr="007C2CA2">
        <w:rPr>
          <w:rFonts w:ascii="Arial" w:hAnsi="Arial" w:cs="Arial"/>
        </w:rPr>
        <w:t>UPAs</w:t>
      </w:r>
      <w:proofErr w:type="spellEnd"/>
      <w:r w:rsidRPr="007C2CA2">
        <w:rPr>
          <w:rFonts w:ascii="Arial" w:hAnsi="Arial" w:cs="Arial"/>
        </w:rPr>
        <w:t>) ou retidos indevidamente em hospitais.</w:t>
      </w:r>
    </w:p>
    <w:p w14:paraId="78883C92" w14:textId="77777777" w:rsidR="00DB570B" w:rsidRDefault="00DB570B" w:rsidP="009529B7">
      <w:pPr>
        <w:spacing w:after="240" w:line="360" w:lineRule="auto"/>
        <w:jc w:val="both"/>
        <w:rPr>
          <w:rFonts w:ascii="Arial" w:hAnsi="Arial" w:cs="Arial"/>
        </w:rPr>
      </w:pPr>
      <w:r w:rsidRPr="0064512E">
        <w:rPr>
          <w:rFonts w:ascii="Arial" w:hAnsi="Arial" w:cs="Arial"/>
        </w:rPr>
        <w:t xml:space="preserve">Ressalta-se que, nos termos das diretrizes normativas do Ministério da Saúde, a implantação de um Centro de Atenção Psicossocial Tipo III (CAPS III) pressupõe o preenchimento de critério populacional mínimo (municípios ou regiões de saúde com população superior a 150 mil habitantes). </w:t>
      </w:r>
    </w:p>
    <w:p w14:paraId="64A203A1" w14:textId="77777777" w:rsidR="00C23B9E" w:rsidRPr="007C2CA2" w:rsidRDefault="00C23B9E" w:rsidP="00C23B9E">
      <w:pPr>
        <w:spacing w:after="240" w:line="360" w:lineRule="auto"/>
        <w:jc w:val="both"/>
        <w:rPr>
          <w:rFonts w:ascii="Arial" w:hAnsi="Arial" w:cs="Arial"/>
        </w:rPr>
      </w:pPr>
      <w:r w:rsidRPr="007C2CA2">
        <w:rPr>
          <w:rFonts w:ascii="Arial" w:hAnsi="Arial" w:cs="Arial"/>
          <w:b/>
          <w:bCs/>
        </w:rPr>
        <w:t>Inexistência de Serviços Residenciais Terapêuticos (SRT) e Inoperância do Programa Volta para Casa (PVC):</w:t>
      </w:r>
      <w:r>
        <w:rPr>
          <w:rFonts w:ascii="Arial" w:hAnsi="Arial" w:cs="Arial"/>
          <w:b/>
          <w:bCs/>
        </w:rPr>
        <w:t xml:space="preserve"> </w:t>
      </w:r>
      <w:r w:rsidRPr="007C2CA2">
        <w:rPr>
          <w:rFonts w:ascii="Arial" w:hAnsi="Arial" w:cs="Arial"/>
        </w:rPr>
        <w:t>Apesar de haver munícipes com histórico de longa permanência em instituições asilares aptos à convivência comunitária, o Município de [Nome do Município] não implantou unidades de Serviço Residencial Terapêutico (SRT) no espaço urbano. Do mesmo modo, não há busca ativa nem encaminhamento administrativo de usuários elegíveis para recebimento do auxílio financeiro do Programa Volta para Casa (Lei nº 10.708/2003), perpetuando a desassistência no processo de desinstitucionalização.</w:t>
      </w:r>
    </w:p>
    <w:p w14:paraId="1D880B00" w14:textId="61C012FA" w:rsidR="00DB570B" w:rsidRPr="007C2CA2" w:rsidRDefault="00DB570B" w:rsidP="009529B7">
      <w:pPr>
        <w:spacing w:after="240" w:line="360" w:lineRule="auto"/>
        <w:jc w:val="both"/>
        <w:rPr>
          <w:rFonts w:ascii="Arial" w:hAnsi="Arial" w:cs="Arial"/>
        </w:rPr>
      </w:pPr>
      <w:r w:rsidRPr="007C2CA2">
        <w:rPr>
          <w:rFonts w:ascii="Arial" w:hAnsi="Arial" w:cs="Arial"/>
          <w:b/>
          <w:bCs/>
        </w:rPr>
        <w:t>Insuficiência e Barreiras no Serviço de Consultório na Rua (</w:t>
      </w:r>
      <w:proofErr w:type="spellStart"/>
      <w:r w:rsidRPr="007C2CA2">
        <w:rPr>
          <w:rFonts w:ascii="Arial" w:hAnsi="Arial" w:cs="Arial"/>
          <w:b/>
          <w:bCs/>
        </w:rPr>
        <w:t>eCR</w:t>
      </w:r>
      <w:proofErr w:type="spellEnd"/>
      <w:r w:rsidRPr="007C2CA2">
        <w:rPr>
          <w:rFonts w:ascii="Arial" w:hAnsi="Arial" w:cs="Arial"/>
          <w:b/>
          <w:bCs/>
        </w:rPr>
        <w:t>):</w:t>
      </w:r>
      <w:r w:rsidR="0045296E">
        <w:rPr>
          <w:rFonts w:ascii="Arial" w:hAnsi="Arial" w:cs="Arial"/>
          <w:b/>
          <w:bCs/>
        </w:rPr>
        <w:t xml:space="preserve"> </w:t>
      </w:r>
      <w:r w:rsidRPr="007C2CA2">
        <w:rPr>
          <w:rFonts w:ascii="Arial" w:hAnsi="Arial" w:cs="Arial"/>
        </w:rPr>
        <w:t xml:space="preserve">Constatou-se a insuficiência (ou inexistência) de equipes do Consultório na Rua frente à crescente demanda da população em situação de rua com transtornos mentais e sofrimento </w:t>
      </w:r>
      <w:r w:rsidRPr="007C2CA2">
        <w:rPr>
          <w:rFonts w:ascii="Arial" w:hAnsi="Arial" w:cs="Arial"/>
        </w:rPr>
        <w:lastRenderedPageBreak/>
        <w:t>decorrente do uso de substâncias. Além disso, identificaram-se condutas burocráticas e ilegais de exigência de acompanhante ou de abstinência prévia para o acesso aos atendimentos de saúde.</w:t>
      </w:r>
    </w:p>
    <w:p w14:paraId="277CD5A4" w14:textId="11035BAE" w:rsidR="00DB570B" w:rsidRPr="007C2CA2" w:rsidRDefault="00DB570B" w:rsidP="009529B7">
      <w:pPr>
        <w:spacing w:after="240" w:line="360" w:lineRule="auto"/>
        <w:jc w:val="both"/>
        <w:rPr>
          <w:rFonts w:ascii="Arial" w:hAnsi="Arial" w:cs="Arial"/>
        </w:rPr>
      </w:pPr>
      <w:r w:rsidRPr="007C2CA2">
        <w:rPr>
          <w:rFonts w:ascii="Arial" w:hAnsi="Arial" w:cs="Arial"/>
          <w:b/>
          <w:bCs/>
        </w:rPr>
        <w:t>Inadequações no Fluxo de Atendimento à Crise e Falta de Apoio Matricial:</w:t>
      </w:r>
      <w:r w:rsidR="0045296E">
        <w:rPr>
          <w:rFonts w:ascii="Arial" w:hAnsi="Arial" w:cs="Arial"/>
          <w:b/>
          <w:bCs/>
        </w:rPr>
        <w:t xml:space="preserve"> </w:t>
      </w:r>
      <w:r w:rsidRPr="007C2CA2">
        <w:rPr>
          <w:rFonts w:ascii="Arial" w:hAnsi="Arial" w:cs="Arial"/>
        </w:rPr>
        <w:t>Observou-se a descoordenação entre a Atenção Básica (UBS) e os serviços especializados. Há carência no suporte matricial prestado pelas equipes multiprofissionais (</w:t>
      </w:r>
      <w:proofErr w:type="spellStart"/>
      <w:r w:rsidRPr="007C2CA2">
        <w:rPr>
          <w:rFonts w:ascii="Arial" w:hAnsi="Arial" w:cs="Arial"/>
        </w:rPr>
        <w:t>eMulti</w:t>
      </w:r>
      <w:proofErr w:type="spellEnd"/>
      <w:r w:rsidRPr="007C2CA2">
        <w:rPr>
          <w:rFonts w:ascii="Arial" w:hAnsi="Arial" w:cs="Arial"/>
        </w:rPr>
        <w:t>) e omissão na elaboração sistemática do Projeto Terapêutico Singular (PTS) para casos complexos, gerando peregrinação dos usuários e sobrecarga desnecessária do SAMU 192 e das portas de emergência.</w:t>
      </w:r>
    </w:p>
    <w:p w14:paraId="15C6CE7E" w14:textId="75A91024" w:rsidR="00DB570B" w:rsidRPr="007C2CA2" w:rsidRDefault="00DB570B" w:rsidP="009529B7">
      <w:pPr>
        <w:spacing w:after="240" w:line="360" w:lineRule="auto"/>
        <w:jc w:val="both"/>
        <w:rPr>
          <w:rFonts w:ascii="Arial" w:hAnsi="Arial" w:cs="Arial"/>
        </w:rPr>
      </w:pPr>
      <w:r w:rsidRPr="007C2CA2">
        <w:rPr>
          <w:rFonts w:ascii="Arial" w:hAnsi="Arial" w:cs="Arial"/>
          <w:b/>
          <w:bCs/>
        </w:rPr>
        <w:t>Ausência de Comunicação das Internações Involuntárias à Defensoria Pública:</w:t>
      </w:r>
      <w:r w:rsidR="0045296E">
        <w:rPr>
          <w:rFonts w:ascii="Arial" w:hAnsi="Arial" w:cs="Arial"/>
          <w:b/>
          <w:bCs/>
        </w:rPr>
        <w:t xml:space="preserve"> </w:t>
      </w:r>
      <w:r w:rsidRPr="007C2CA2">
        <w:rPr>
          <w:rFonts w:ascii="Arial" w:hAnsi="Arial" w:cs="Arial"/>
        </w:rPr>
        <w:t>Verificou-se que a Secretaria Municipal de Saúde e os serviços locais não possuem fluxo regulamentado para dar cumprimento ao art. 23-A da Lei nº 11.343/2006, o qual impõe a notificação obrigatória à Defensoria Pública, no prazo improrrogável de 72 (setenta e duas) horas, sobre qualquer internação involuntária de pessoa com dependência química. Tal omissão impede a fiscalização dos laudos médicos e favorece privações ilícitas de liberdade em clínicas clandestinas ou comunidades terapêuticas sem habilitação.</w:t>
      </w:r>
    </w:p>
    <w:p w14:paraId="32F2300B" w14:textId="77777777" w:rsidR="00DB570B" w:rsidRDefault="00DB570B" w:rsidP="009529B7">
      <w:pPr>
        <w:pBdr>
          <w:top w:val="nil"/>
          <w:left w:val="nil"/>
          <w:bottom w:val="nil"/>
          <w:right w:val="nil"/>
          <w:between w:val="nil"/>
        </w:pBdr>
        <w:spacing w:after="240" w:line="360" w:lineRule="auto"/>
        <w:jc w:val="both"/>
        <w:rPr>
          <w:rFonts w:ascii="Arial" w:hAnsi="Arial" w:cs="Arial"/>
          <w:b/>
          <w:bCs/>
        </w:rPr>
      </w:pPr>
    </w:p>
    <w:p w14:paraId="1368CE9A" w14:textId="333D04A3" w:rsidR="00DB570B" w:rsidRPr="00DB570B" w:rsidRDefault="00DB570B" w:rsidP="009529B7">
      <w:pPr>
        <w:pBdr>
          <w:top w:val="nil"/>
          <w:left w:val="nil"/>
          <w:bottom w:val="nil"/>
          <w:right w:val="nil"/>
          <w:between w:val="nil"/>
        </w:pBdr>
        <w:spacing w:after="240" w:line="360" w:lineRule="auto"/>
        <w:jc w:val="both"/>
        <w:rPr>
          <w:rFonts w:ascii="Arial" w:hAnsi="Arial" w:cs="Arial"/>
          <w:b/>
          <w:bCs/>
        </w:rPr>
      </w:pPr>
      <w:r>
        <w:rPr>
          <w:rFonts w:ascii="Arial" w:hAnsi="Arial" w:cs="Arial"/>
          <w:b/>
          <w:bCs/>
        </w:rPr>
        <w:t xml:space="preserve">III. </w:t>
      </w:r>
      <w:r w:rsidRPr="00DB570B">
        <w:rPr>
          <w:rFonts w:ascii="Arial" w:hAnsi="Arial" w:cs="Arial"/>
          <w:b/>
          <w:bCs/>
        </w:rPr>
        <w:t xml:space="preserve">ESGOTAMENTO </w:t>
      </w:r>
      <w:r>
        <w:rPr>
          <w:rFonts w:ascii="Arial" w:hAnsi="Arial" w:cs="Arial"/>
          <w:b/>
          <w:bCs/>
        </w:rPr>
        <w:t>DAS TENTATIVAS DE RESOLUÇÃO EXTRAJUDICIAL</w:t>
      </w:r>
      <w:r w:rsidRPr="00DB570B">
        <w:rPr>
          <w:rFonts w:ascii="Arial" w:hAnsi="Arial" w:cs="Arial"/>
          <w:b/>
          <w:bCs/>
        </w:rPr>
        <w:t xml:space="preserve"> </w:t>
      </w:r>
    </w:p>
    <w:p w14:paraId="36CAA5BD" w14:textId="55029BAC" w:rsidR="00DB570B" w:rsidRPr="00DB570B" w:rsidRDefault="00DB570B" w:rsidP="009529B7">
      <w:pPr>
        <w:pBdr>
          <w:top w:val="nil"/>
          <w:left w:val="nil"/>
          <w:bottom w:val="nil"/>
          <w:right w:val="nil"/>
          <w:between w:val="nil"/>
        </w:pBdr>
        <w:spacing w:after="240" w:line="360" w:lineRule="auto"/>
        <w:jc w:val="both"/>
        <w:rPr>
          <w:rFonts w:ascii="Arial" w:hAnsi="Arial" w:cs="Arial"/>
        </w:rPr>
      </w:pPr>
      <w:r w:rsidRPr="00DB570B">
        <w:rPr>
          <w:rFonts w:ascii="Arial" w:hAnsi="Arial" w:cs="Arial"/>
        </w:rPr>
        <w:t xml:space="preserve">Consolidado o diagnóstico, a Defensoria Pública expediu a Recomendação Administrativa nº [Número]/[Ano] (Doc. 10), instando a Secretaria Municipal de Saúde e o Prefeito Municipal a apresentarem, no prazo de 90 dias, um cronograma factível de correção de tais falhas, com a previsão orçamentária para a implantação de ao menos um CAPS III e dos </w:t>
      </w:r>
      <w:proofErr w:type="spellStart"/>
      <w:r w:rsidRPr="00DB570B">
        <w:rPr>
          <w:rFonts w:ascii="Arial" w:hAnsi="Arial" w:cs="Arial"/>
        </w:rPr>
        <w:t>SRTs</w:t>
      </w:r>
      <w:proofErr w:type="spellEnd"/>
      <w:r w:rsidRPr="00DB570B">
        <w:rPr>
          <w:rFonts w:ascii="Arial" w:hAnsi="Arial" w:cs="Arial"/>
        </w:rPr>
        <w:t xml:space="preserve"> necessários.</w:t>
      </w:r>
    </w:p>
    <w:p w14:paraId="17451B8E" w14:textId="705AA466" w:rsidR="00DB570B" w:rsidRDefault="00DB570B" w:rsidP="009529B7">
      <w:pPr>
        <w:pBdr>
          <w:top w:val="nil"/>
          <w:left w:val="nil"/>
          <w:bottom w:val="nil"/>
          <w:right w:val="nil"/>
          <w:between w:val="nil"/>
        </w:pBdr>
        <w:spacing w:after="240" w:line="360" w:lineRule="auto"/>
        <w:jc w:val="both"/>
        <w:rPr>
          <w:rFonts w:ascii="Arial" w:hAnsi="Arial" w:cs="Arial"/>
        </w:rPr>
      </w:pPr>
      <w:r w:rsidRPr="00DB570B">
        <w:rPr>
          <w:rFonts w:ascii="Arial" w:hAnsi="Arial" w:cs="Arial"/>
        </w:rPr>
        <w:t xml:space="preserve">A resposta do Município (Doc. 12) consistiu em </w:t>
      </w:r>
      <w:r>
        <w:rPr>
          <w:rFonts w:ascii="Arial" w:hAnsi="Arial" w:cs="Arial"/>
        </w:rPr>
        <w:t>ofício</w:t>
      </w:r>
      <w:r w:rsidRPr="00DB570B">
        <w:rPr>
          <w:rFonts w:ascii="Arial" w:hAnsi="Arial" w:cs="Arial"/>
        </w:rPr>
        <w:t xml:space="preserve"> meramente protocolar, alegando, em suma, a ausência de dotação orçamentária e </w:t>
      </w:r>
      <w:r>
        <w:rPr>
          <w:rFonts w:ascii="Arial" w:hAnsi="Arial" w:cs="Arial"/>
        </w:rPr>
        <w:t>[...]</w:t>
      </w:r>
      <w:r w:rsidRPr="00DB570B">
        <w:rPr>
          <w:rFonts w:ascii="Arial" w:hAnsi="Arial" w:cs="Arial"/>
        </w:rPr>
        <w:t xml:space="preserve">, transferindo a responsabilidade genérica para repasses do Estado ou da União, e negando-se a apresentar qualquer planejamento de expansão. </w:t>
      </w:r>
    </w:p>
    <w:p w14:paraId="67235463" w14:textId="2494A8C2" w:rsidR="00CB4321" w:rsidRPr="00CB4321" w:rsidRDefault="00CB4321" w:rsidP="009529B7">
      <w:pPr>
        <w:pBdr>
          <w:top w:val="nil"/>
          <w:left w:val="nil"/>
          <w:bottom w:val="nil"/>
          <w:right w:val="nil"/>
          <w:between w:val="nil"/>
        </w:pBdr>
        <w:spacing w:after="240" w:line="360" w:lineRule="auto"/>
        <w:jc w:val="both"/>
        <w:rPr>
          <w:rFonts w:ascii="Arial" w:hAnsi="Arial" w:cs="Arial"/>
        </w:rPr>
      </w:pPr>
      <w:r w:rsidRPr="00CB4321">
        <w:rPr>
          <w:rFonts w:ascii="Arial" w:hAnsi="Arial" w:cs="Arial"/>
        </w:rPr>
        <w:t>Buscou-se oferecer ao Município oportunidade concreta para reconhecer os vazios assistenciais existentes e promover voluntariamente as adequações necessárias.</w:t>
      </w:r>
      <w:r>
        <w:rPr>
          <w:rFonts w:ascii="Arial" w:hAnsi="Arial" w:cs="Arial"/>
        </w:rPr>
        <w:t xml:space="preserve"> </w:t>
      </w:r>
      <w:r w:rsidRPr="00CB4321">
        <w:rPr>
          <w:rFonts w:ascii="Arial" w:hAnsi="Arial" w:cs="Arial"/>
        </w:rPr>
        <w:lastRenderedPageBreak/>
        <w:t>Todavia, as respostas apresentadas não demonstraram a adoção de medidas capazes de enfrentar, de forma sistêmica, as deficiências estruturais identificadas.</w:t>
      </w:r>
    </w:p>
    <w:p w14:paraId="51695260" w14:textId="77777777" w:rsidR="00CB4321" w:rsidRPr="00CB4321" w:rsidRDefault="00CB4321" w:rsidP="009529B7">
      <w:pPr>
        <w:pBdr>
          <w:top w:val="nil"/>
          <w:left w:val="nil"/>
          <w:bottom w:val="nil"/>
          <w:right w:val="nil"/>
          <w:between w:val="nil"/>
        </w:pBdr>
        <w:spacing w:after="240" w:line="360" w:lineRule="auto"/>
        <w:jc w:val="both"/>
        <w:rPr>
          <w:rFonts w:ascii="Arial" w:hAnsi="Arial" w:cs="Arial"/>
        </w:rPr>
      </w:pPr>
      <w:r w:rsidRPr="00CB4321">
        <w:rPr>
          <w:rFonts w:ascii="Arial" w:hAnsi="Arial" w:cs="Arial"/>
        </w:rPr>
        <w:t>Persistem ausentes planejamento integrado, cronograma executivo, definição objetiva de metas, expansão programada dos serviços e mecanismos permanentes de monitoramento da política pública.</w:t>
      </w:r>
    </w:p>
    <w:p w14:paraId="39B42F34" w14:textId="00F0D210" w:rsidR="00DB570B" w:rsidRDefault="00CB4321" w:rsidP="009529B7">
      <w:pPr>
        <w:pBdr>
          <w:top w:val="nil"/>
          <w:left w:val="nil"/>
          <w:bottom w:val="nil"/>
          <w:right w:val="nil"/>
          <w:between w:val="nil"/>
        </w:pBdr>
        <w:spacing w:after="240" w:line="360" w:lineRule="auto"/>
        <w:jc w:val="both"/>
        <w:rPr>
          <w:rFonts w:ascii="Arial" w:hAnsi="Arial" w:cs="Arial"/>
        </w:rPr>
      </w:pPr>
      <w:r w:rsidRPr="00CB4321">
        <w:rPr>
          <w:rFonts w:ascii="Arial" w:hAnsi="Arial" w:cs="Arial"/>
        </w:rPr>
        <w:t>Esgotadas, portanto, todas as medidas extrajudiciais razoavelmente disponíveis, não resta alternativa senão provocar a atuação do Poder Judiciário, não para substituir a Administração Pública em escolhas discricionárias, mas para assegurar a implementação do núcleo mínimo da política pública já expressamente determinada pela Constituição, pela legislação federal, pelas normas do SUS e pelos atos normativos do Ministério da Saúde.</w:t>
      </w:r>
    </w:p>
    <w:p w14:paraId="32A0C4E6" w14:textId="77777777" w:rsidR="00DB570B" w:rsidRDefault="00DB570B" w:rsidP="009529B7">
      <w:pPr>
        <w:pBdr>
          <w:top w:val="nil"/>
          <w:left w:val="nil"/>
          <w:bottom w:val="nil"/>
          <w:right w:val="nil"/>
          <w:between w:val="nil"/>
        </w:pBdr>
        <w:spacing w:after="240" w:line="360" w:lineRule="auto"/>
        <w:jc w:val="both"/>
        <w:rPr>
          <w:rFonts w:ascii="Arial" w:hAnsi="Arial" w:cs="Arial"/>
          <w:b/>
          <w:bCs/>
        </w:rPr>
      </w:pPr>
    </w:p>
    <w:p w14:paraId="5C018B39" w14:textId="31B758A6" w:rsidR="00DB570B" w:rsidRPr="00DB570B" w:rsidRDefault="00DB570B" w:rsidP="009529B7">
      <w:pPr>
        <w:pBdr>
          <w:top w:val="nil"/>
          <w:left w:val="nil"/>
          <w:bottom w:val="nil"/>
          <w:right w:val="nil"/>
          <w:between w:val="nil"/>
        </w:pBdr>
        <w:spacing w:after="240" w:line="360" w:lineRule="auto"/>
        <w:jc w:val="both"/>
        <w:rPr>
          <w:rFonts w:ascii="Arial" w:hAnsi="Arial" w:cs="Arial"/>
          <w:b/>
          <w:bCs/>
        </w:rPr>
      </w:pPr>
      <w:r w:rsidRPr="00DB570B">
        <w:rPr>
          <w:rFonts w:ascii="Arial" w:hAnsi="Arial" w:cs="Arial"/>
          <w:b/>
          <w:bCs/>
        </w:rPr>
        <w:t>IV. FUNDAMENTOS JURÍDICOS</w:t>
      </w:r>
    </w:p>
    <w:p w14:paraId="4246E9FD" w14:textId="79C7B83B" w:rsidR="00DB570B" w:rsidRPr="00DB570B" w:rsidRDefault="009529B7" w:rsidP="009529B7">
      <w:pPr>
        <w:pBdr>
          <w:top w:val="nil"/>
          <w:left w:val="nil"/>
          <w:bottom w:val="nil"/>
          <w:right w:val="nil"/>
          <w:between w:val="nil"/>
        </w:pBdr>
        <w:spacing w:after="240" w:line="360" w:lineRule="auto"/>
        <w:jc w:val="both"/>
        <w:rPr>
          <w:rFonts w:ascii="Arial" w:hAnsi="Arial" w:cs="Arial"/>
          <w:b/>
          <w:bCs/>
        </w:rPr>
      </w:pPr>
      <w:r>
        <w:rPr>
          <w:rFonts w:ascii="Arial" w:hAnsi="Arial" w:cs="Arial"/>
          <w:b/>
          <w:bCs/>
        </w:rPr>
        <w:t>IV.I.</w:t>
      </w:r>
      <w:r w:rsidR="00DB570B" w:rsidRPr="00DB570B">
        <w:rPr>
          <w:rFonts w:ascii="Arial" w:hAnsi="Arial" w:cs="Arial"/>
          <w:b/>
          <w:bCs/>
        </w:rPr>
        <w:t xml:space="preserve"> </w:t>
      </w:r>
      <w:r w:rsidRPr="00DB570B">
        <w:rPr>
          <w:rFonts w:ascii="Arial" w:hAnsi="Arial" w:cs="Arial"/>
          <w:b/>
          <w:bCs/>
        </w:rPr>
        <w:t>DIREITO FUNDAMENTAL À SAÚDE MENTAL E REFORMA PSIQUIÁTRICA</w:t>
      </w:r>
      <w:r w:rsidR="00A24860">
        <w:rPr>
          <w:rFonts w:ascii="Arial" w:hAnsi="Arial" w:cs="Arial"/>
          <w:b/>
          <w:bCs/>
        </w:rPr>
        <w:t xml:space="preserve">. </w:t>
      </w:r>
      <w:r w:rsidRPr="00DB570B">
        <w:rPr>
          <w:rFonts w:ascii="Arial" w:hAnsi="Arial" w:cs="Arial"/>
          <w:b/>
          <w:bCs/>
        </w:rPr>
        <w:t>ARQUITETURA NORMATIVA DA RAPS: O DEVER ESPECÍFICO DO</w:t>
      </w:r>
      <w:r>
        <w:rPr>
          <w:rFonts w:ascii="Arial" w:hAnsi="Arial" w:cs="Arial"/>
          <w:b/>
          <w:bCs/>
        </w:rPr>
        <w:t>S</w:t>
      </w:r>
      <w:r w:rsidRPr="00DB570B">
        <w:rPr>
          <w:rFonts w:ascii="Arial" w:hAnsi="Arial" w:cs="Arial"/>
          <w:b/>
          <w:bCs/>
        </w:rPr>
        <w:t xml:space="preserve"> MUNICÍPIO</w:t>
      </w:r>
      <w:r>
        <w:rPr>
          <w:rFonts w:ascii="Arial" w:hAnsi="Arial" w:cs="Arial"/>
          <w:b/>
          <w:bCs/>
        </w:rPr>
        <w:t>S.</w:t>
      </w:r>
    </w:p>
    <w:p w14:paraId="358B7869" w14:textId="77777777" w:rsidR="00DB570B" w:rsidRPr="00DB570B" w:rsidRDefault="00DB570B" w:rsidP="009529B7">
      <w:pPr>
        <w:pBdr>
          <w:top w:val="nil"/>
          <w:left w:val="nil"/>
          <w:bottom w:val="nil"/>
          <w:right w:val="nil"/>
          <w:between w:val="nil"/>
        </w:pBdr>
        <w:spacing w:after="240" w:line="360" w:lineRule="auto"/>
        <w:jc w:val="both"/>
        <w:rPr>
          <w:rFonts w:ascii="Arial" w:hAnsi="Arial" w:cs="Arial"/>
        </w:rPr>
      </w:pPr>
      <w:r w:rsidRPr="00DB570B">
        <w:rPr>
          <w:rFonts w:ascii="Arial" w:hAnsi="Arial" w:cs="Arial"/>
        </w:rPr>
        <w:t>A Constituição Cidadã de 1988 estabeleceu a saúde como direito de todos e dever do Estado (art. 196). Na esteira do regramento constitucional, adveio a Lei Federal nº 10.216, de 6 de abril de 2001 (Lei da Reforma Psiquiátrica), que redirecionou o modelo assistencial em saúde mental no Brasil, promovendo uma mudança de paradigma essencial: a transição do modelo hospitalocêntrico (asilar e segregador) para o modelo de base comunitária, pautado pelo cuidado no território, pela preservação dos laços familiares e pela garantia da liberdade.</w:t>
      </w:r>
    </w:p>
    <w:p w14:paraId="3B5BFEC6" w14:textId="2C20AE3A" w:rsidR="00DB570B" w:rsidRDefault="00DB570B" w:rsidP="009529B7">
      <w:pPr>
        <w:pBdr>
          <w:top w:val="nil"/>
          <w:left w:val="nil"/>
          <w:bottom w:val="nil"/>
          <w:right w:val="nil"/>
          <w:between w:val="nil"/>
        </w:pBdr>
        <w:spacing w:after="240" w:line="360" w:lineRule="auto"/>
        <w:jc w:val="both"/>
        <w:rPr>
          <w:rFonts w:ascii="Arial" w:hAnsi="Arial" w:cs="Arial"/>
          <w:i/>
          <w:iCs/>
        </w:rPr>
      </w:pPr>
      <w:r w:rsidRPr="00DB570B">
        <w:rPr>
          <w:rFonts w:ascii="Arial" w:hAnsi="Arial" w:cs="Arial"/>
        </w:rPr>
        <w:t>O art. 4º da Lei 10.216/01 estabelece taxativamente que</w:t>
      </w:r>
      <w:r w:rsidR="002C010B">
        <w:rPr>
          <w:rFonts w:ascii="Arial" w:hAnsi="Arial" w:cs="Arial"/>
        </w:rPr>
        <w:t xml:space="preserve"> </w:t>
      </w:r>
      <w:r w:rsidRPr="00DB570B">
        <w:rPr>
          <w:rFonts w:ascii="Arial" w:hAnsi="Arial" w:cs="Arial"/>
          <w:i/>
          <w:iCs/>
        </w:rPr>
        <w:t>"</w:t>
      </w:r>
      <w:r w:rsidR="002C010B">
        <w:rPr>
          <w:rFonts w:ascii="Arial" w:hAnsi="Arial" w:cs="Arial"/>
          <w:i/>
          <w:iCs/>
        </w:rPr>
        <w:t>a</w:t>
      </w:r>
      <w:r w:rsidRPr="00DB570B">
        <w:rPr>
          <w:rFonts w:ascii="Arial" w:hAnsi="Arial" w:cs="Arial"/>
          <w:i/>
          <w:iCs/>
        </w:rPr>
        <w:t xml:space="preserve"> internação, em qualquer de suas modalidades, só será indicada quando os recursos extra-hospitalares se mostrarem insuficientes."</w:t>
      </w:r>
    </w:p>
    <w:p w14:paraId="077D2163" w14:textId="77777777" w:rsidR="00694EE5" w:rsidRDefault="00A24860" w:rsidP="00A24860">
      <w:pPr>
        <w:pBdr>
          <w:top w:val="nil"/>
          <w:left w:val="nil"/>
          <w:bottom w:val="nil"/>
          <w:right w:val="nil"/>
          <w:between w:val="nil"/>
        </w:pBdr>
        <w:spacing w:after="240" w:line="360" w:lineRule="auto"/>
        <w:jc w:val="both"/>
        <w:rPr>
          <w:rFonts w:ascii="Arial" w:hAnsi="Arial" w:cs="Arial"/>
        </w:rPr>
      </w:pPr>
      <w:r w:rsidRPr="00A24860">
        <w:rPr>
          <w:rFonts w:ascii="Arial" w:hAnsi="Arial" w:cs="Arial"/>
        </w:rPr>
        <w:t xml:space="preserve">No plano internacional, a proteção das pessoas com sofrimento mental fundamenta-se em diplomas normativos de Direitos Humanos que estabelecem o direito à saúde, à dignidade, à não discriminação e à proteção contra tratamentos cruéis, desumanos ou degradantes. </w:t>
      </w:r>
    </w:p>
    <w:p w14:paraId="5EABAC08" w14:textId="6DB658E4" w:rsidR="00A24860" w:rsidRPr="00A24860" w:rsidRDefault="00A24860" w:rsidP="00A24860">
      <w:pPr>
        <w:pBdr>
          <w:top w:val="nil"/>
          <w:left w:val="nil"/>
          <w:bottom w:val="nil"/>
          <w:right w:val="nil"/>
          <w:between w:val="nil"/>
        </w:pBdr>
        <w:spacing w:after="240" w:line="360" w:lineRule="auto"/>
        <w:jc w:val="both"/>
        <w:rPr>
          <w:rFonts w:ascii="Arial" w:hAnsi="Arial" w:cs="Arial"/>
        </w:rPr>
      </w:pPr>
      <w:r w:rsidRPr="00A24860">
        <w:rPr>
          <w:rFonts w:ascii="Arial" w:hAnsi="Arial" w:cs="Arial"/>
        </w:rPr>
        <w:lastRenderedPageBreak/>
        <w:t>Destacam-se a Convenção Americana sobre Direitos Humanos (Pacto de São José da Costa Rica), os Princípios para a Proteção de Pessoas com Enfermidade Mental da ONU (Resolução 46/119) e a Convenção da ONU sobre os Direitos das Pessoas com Deficiência. Essas normativas consagram que o cuidado psiquiátrico deve ser prestado em ambiente comunitário e o menos restritivo possível, impondo aos Estados a posição de garantidores e o dever de fiscalizar serviços de saúde públicos ou privados conveniados.</w:t>
      </w:r>
    </w:p>
    <w:p w14:paraId="744A9EAD" w14:textId="77777777" w:rsidR="00694EE5" w:rsidRDefault="00A24860" w:rsidP="009529B7">
      <w:pPr>
        <w:pBdr>
          <w:top w:val="nil"/>
          <w:left w:val="nil"/>
          <w:bottom w:val="nil"/>
          <w:right w:val="nil"/>
          <w:between w:val="nil"/>
        </w:pBdr>
        <w:spacing w:after="240" w:line="360" w:lineRule="auto"/>
        <w:jc w:val="both"/>
        <w:rPr>
          <w:rFonts w:ascii="Arial" w:hAnsi="Arial" w:cs="Arial"/>
        </w:rPr>
      </w:pPr>
      <w:r w:rsidRPr="00A24860">
        <w:rPr>
          <w:rFonts w:ascii="Arial" w:hAnsi="Arial" w:cs="Arial"/>
        </w:rPr>
        <w:t xml:space="preserve">Na jurisprudência, o marco divisor de águas é o caso </w:t>
      </w:r>
      <w:r w:rsidRPr="00A24860">
        <w:rPr>
          <w:rFonts w:ascii="Arial" w:hAnsi="Arial" w:cs="Arial"/>
          <w:i/>
          <w:iCs/>
        </w:rPr>
        <w:t>Damião Ximenes Lopes vs. Brasil</w:t>
      </w:r>
      <w:r w:rsidRPr="00A24860">
        <w:rPr>
          <w:rFonts w:ascii="Arial" w:hAnsi="Arial" w:cs="Arial"/>
        </w:rPr>
        <w:t xml:space="preserve"> (2006), primeiro pronunciamento da Corte Interamericana de Direitos Humanos sobre a violação de direitos humanos de pessoas com deficiência psicossocial e primeira condenação internacional do Estado brasileiro. Submetido a maus-tratos, contenção física indevida e morto em uma clínica credenciada ao SUS, Damião tornou-se o símbolo do dever estatal de especial proteção. </w:t>
      </w:r>
    </w:p>
    <w:p w14:paraId="102E36B7" w14:textId="20A4FB55" w:rsidR="00A24860" w:rsidRPr="00DB570B" w:rsidRDefault="00A24860" w:rsidP="009529B7">
      <w:pPr>
        <w:pBdr>
          <w:top w:val="nil"/>
          <w:left w:val="nil"/>
          <w:bottom w:val="nil"/>
          <w:right w:val="nil"/>
          <w:between w:val="nil"/>
        </w:pBdr>
        <w:spacing w:after="240" w:line="360" w:lineRule="auto"/>
        <w:jc w:val="both"/>
        <w:rPr>
          <w:rFonts w:ascii="Arial" w:hAnsi="Arial" w:cs="Arial"/>
        </w:rPr>
      </w:pPr>
      <w:r w:rsidRPr="00A24860">
        <w:rPr>
          <w:rFonts w:ascii="Arial" w:hAnsi="Arial" w:cs="Arial"/>
        </w:rPr>
        <w:t>A Corte IDH firmou o entendimento de que o Estado responde diretamente por abusos cometidos em instituições de saúde privadas que atuem em seu nome, declarando a incompatibilidade do modelo asilar-manicomial com os Direitos Humanos e estabelecendo obrigações de capacitação profissional e estruturação de uma política antimanicomial pautada no cuidado em liberdade.</w:t>
      </w:r>
    </w:p>
    <w:p w14:paraId="5E558E33" w14:textId="77777777" w:rsidR="00DB570B" w:rsidRPr="00DB570B" w:rsidRDefault="00DB570B" w:rsidP="009529B7">
      <w:pPr>
        <w:pBdr>
          <w:top w:val="nil"/>
          <w:left w:val="nil"/>
          <w:bottom w:val="nil"/>
          <w:right w:val="nil"/>
          <w:between w:val="nil"/>
        </w:pBdr>
        <w:spacing w:after="240" w:line="360" w:lineRule="auto"/>
        <w:jc w:val="both"/>
        <w:rPr>
          <w:rFonts w:ascii="Arial" w:hAnsi="Arial" w:cs="Arial"/>
        </w:rPr>
      </w:pPr>
      <w:r w:rsidRPr="00DB570B">
        <w:rPr>
          <w:rFonts w:ascii="Arial" w:hAnsi="Arial" w:cs="Arial"/>
        </w:rPr>
        <w:t>O Sistema Único de Saúde atua mediante a organização de redes integradas. A Política Nacional de Saúde Mental foi consolidada pela Portaria de Consolidação MS nº 3/2017 (Anexo V), que instituiu a Rede de Atenção Psicossocial (RAPS).</w:t>
      </w:r>
    </w:p>
    <w:p w14:paraId="133D2348" w14:textId="77777777" w:rsidR="00DB570B" w:rsidRPr="00DB570B" w:rsidRDefault="00DB570B" w:rsidP="009529B7">
      <w:pPr>
        <w:pBdr>
          <w:top w:val="nil"/>
          <w:left w:val="nil"/>
          <w:bottom w:val="nil"/>
          <w:right w:val="nil"/>
          <w:between w:val="nil"/>
        </w:pBdr>
        <w:spacing w:after="240" w:line="360" w:lineRule="auto"/>
        <w:jc w:val="both"/>
        <w:rPr>
          <w:rFonts w:ascii="Arial" w:hAnsi="Arial" w:cs="Arial"/>
        </w:rPr>
      </w:pPr>
      <w:r w:rsidRPr="00DB570B">
        <w:rPr>
          <w:rFonts w:ascii="Arial" w:hAnsi="Arial" w:cs="Arial"/>
        </w:rPr>
        <w:t>A norma do Ministério da Saúde define as tipologias de serviço e as responsabilidades dos entes federados. Os Municípios são os gestores de seu território e os responsáveis primários pela implantação da rede de atenção primária e especializada (CAPS).</w:t>
      </w:r>
    </w:p>
    <w:p w14:paraId="2B7F3216" w14:textId="5ACB4AF9" w:rsidR="00DB570B" w:rsidRDefault="00DB570B" w:rsidP="009529B7">
      <w:pPr>
        <w:pBdr>
          <w:top w:val="nil"/>
          <w:left w:val="nil"/>
          <w:bottom w:val="nil"/>
          <w:right w:val="nil"/>
          <w:between w:val="nil"/>
        </w:pBdr>
        <w:spacing w:after="240" w:line="360" w:lineRule="auto"/>
        <w:jc w:val="both"/>
        <w:rPr>
          <w:rFonts w:ascii="Arial" w:hAnsi="Arial" w:cs="Arial"/>
        </w:rPr>
      </w:pPr>
      <w:r w:rsidRPr="00DB570B">
        <w:rPr>
          <w:rFonts w:ascii="Arial" w:hAnsi="Arial" w:cs="Arial"/>
        </w:rPr>
        <w:t>A recusa municipal em instituir o CAPS III</w:t>
      </w:r>
      <w:r w:rsidR="00AE07BB">
        <w:rPr>
          <w:rFonts w:ascii="Arial" w:hAnsi="Arial" w:cs="Arial"/>
        </w:rPr>
        <w:t xml:space="preserve">, o SRT, o [...], </w:t>
      </w:r>
      <w:r w:rsidRPr="00DB570B">
        <w:rPr>
          <w:rFonts w:ascii="Arial" w:hAnsi="Arial" w:cs="Arial"/>
        </w:rPr>
        <w:t>viola diretamente o anexo V da citada Portaria, que determina ser o CAPS III um "</w:t>
      </w:r>
      <w:r w:rsidRPr="00DB570B">
        <w:rPr>
          <w:rFonts w:ascii="Arial" w:hAnsi="Arial" w:cs="Arial"/>
          <w:i/>
          <w:iCs/>
        </w:rPr>
        <w:t>serviço de atenção psicossocial com funcionamento vinte e quatro horas por dia e em todos os dias da semana, inclusive finais de semana e feriados</w:t>
      </w:r>
      <w:r w:rsidRPr="00DB570B">
        <w:rPr>
          <w:rFonts w:ascii="Arial" w:hAnsi="Arial" w:cs="Arial"/>
        </w:rPr>
        <w:t>", voltado ao acolhimento de pacientes em crise, evitando a internação</w:t>
      </w:r>
      <w:r w:rsidR="00694EE5">
        <w:rPr>
          <w:rFonts w:ascii="Arial" w:hAnsi="Arial" w:cs="Arial"/>
        </w:rPr>
        <w:t>, bem como [...]</w:t>
      </w:r>
      <w:r w:rsidRPr="00DB570B">
        <w:rPr>
          <w:rFonts w:ascii="Arial" w:hAnsi="Arial" w:cs="Arial"/>
        </w:rPr>
        <w:t>. O descumprimento contínuo desta normativa regulamentar constitui patente ilegalidade administrativa.</w:t>
      </w:r>
    </w:p>
    <w:p w14:paraId="15DCF93A" w14:textId="77777777" w:rsidR="00694EE5" w:rsidRDefault="00AE07BB" w:rsidP="009529B7">
      <w:pPr>
        <w:autoSpaceDE w:val="0"/>
        <w:autoSpaceDN w:val="0"/>
        <w:adjustRightInd w:val="0"/>
        <w:spacing w:after="240" w:line="360" w:lineRule="auto"/>
        <w:jc w:val="both"/>
        <w:rPr>
          <w:rFonts w:ascii="Arial" w:hAnsi="Arial" w:cs="Arial"/>
        </w:rPr>
      </w:pPr>
      <w:r w:rsidRPr="00082965">
        <w:rPr>
          <w:rFonts w:ascii="Arial" w:hAnsi="Arial" w:cs="Arial"/>
        </w:rPr>
        <w:lastRenderedPageBreak/>
        <w:t>Diante da já citada ausência de soluções apresentadas pelo Município réu</w:t>
      </w:r>
      <w:r w:rsidR="00694EE5">
        <w:rPr>
          <w:rFonts w:ascii="Arial" w:hAnsi="Arial" w:cs="Arial"/>
        </w:rPr>
        <w:t>, como integrante do Sistema Único de Saúde,</w:t>
      </w:r>
      <w:r w:rsidRPr="00082965">
        <w:rPr>
          <w:rFonts w:ascii="Arial" w:hAnsi="Arial" w:cs="Arial"/>
        </w:rPr>
        <w:t xml:space="preserve"> para </w:t>
      </w:r>
      <w:r w:rsidR="00694EE5">
        <w:rPr>
          <w:rFonts w:ascii="Arial" w:hAnsi="Arial" w:cs="Arial"/>
        </w:rPr>
        <w:t>se adequar às normas da Rede de Atenção Psicossocial</w:t>
      </w:r>
      <w:r w:rsidRPr="00082965">
        <w:rPr>
          <w:rFonts w:ascii="Arial" w:hAnsi="Arial" w:cs="Arial"/>
        </w:rPr>
        <w:t>, mostra-</w:t>
      </w:r>
      <w:r w:rsidRPr="00EE5314">
        <w:rPr>
          <w:rFonts w:ascii="Arial" w:hAnsi="Arial" w:cs="Arial"/>
        </w:rPr>
        <w:t>se indispensável a intervenção do Poder Judiciário, por meio do</w:t>
      </w:r>
      <w:r w:rsidRPr="00082965">
        <w:rPr>
          <w:rFonts w:ascii="Arial" w:hAnsi="Arial" w:cs="Arial"/>
        </w:rPr>
        <w:t xml:space="preserve"> controle de políticas públicas, com fundamento na inafastabilidade da jurisdição (art. 5º, XXXV, da CF), e nos princípios constitucionais da Administração Pública (art. 37 da CF). </w:t>
      </w:r>
    </w:p>
    <w:p w14:paraId="7D80823F" w14:textId="05187213" w:rsidR="00AE07BB" w:rsidRPr="009529B7" w:rsidRDefault="00AE07BB" w:rsidP="009529B7">
      <w:pPr>
        <w:autoSpaceDE w:val="0"/>
        <w:autoSpaceDN w:val="0"/>
        <w:adjustRightInd w:val="0"/>
        <w:spacing w:after="240" w:line="360" w:lineRule="auto"/>
        <w:jc w:val="both"/>
        <w:rPr>
          <w:rFonts w:ascii="Arial" w:hAnsi="Arial" w:cs="Arial"/>
        </w:rPr>
      </w:pPr>
      <w:r w:rsidRPr="00082965">
        <w:rPr>
          <w:rFonts w:ascii="Arial" w:hAnsi="Arial" w:cs="Arial"/>
        </w:rPr>
        <w:t xml:space="preserve">Afastam-se, ainda, possíveis alegações de violação ao princípio da separação dos Poderes, visto que, no caso, há ausência ou deficiência grave de política pública, </w:t>
      </w:r>
      <w:r w:rsidRPr="009529B7">
        <w:rPr>
          <w:rFonts w:ascii="Arial" w:hAnsi="Arial" w:cs="Arial"/>
        </w:rPr>
        <w:t>condição que viola o mínimo existencial de grupo social relevante e que não pode ficar alheio à apreciação judicial.</w:t>
      </w:r>
    </w:p>
    <w:p w14:paraId="46119895"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O professor Kazuo Watanabe, analisando o escopo do controle judicial de políticas públicas</w:t>
      </w:r>
      <w:r w:rsidRPr="009529B7">
        <w:rPr>
          <w:rStyle w:val="Refdenotaderodap"/>
          <w:rFonts w:ascii="Arial" w:hAnsi="Arial" w:cs="Arial"/>
        </w:rPr>
        <w:footnoteReference w:id="1"/>
      </w:r>
      <w:r w:rsidRPr="009529B7">
        <w:rPr>
          <w:rFonts w:ascii="Arial" w:hAnsi="Arial" w:cs="Arial"/>
        </w:rPr>
        <w:t xml:space="preserve">, defende que a noção de </w:t>
      </w:r>
      <w:r w:rsidRPr="009529B7">
        <w:rPr>
          <w:rFonts w:ascii="Arial" w:hAnsi="Arial" w:cs="Arial"/>
          <w:i/>
          <w:iCs/>
        </w:rPr>
        <w:t>mínimo existencial</w:t>
      </w:r>
      <w:r w:rsidRPr="009529B7">
        <w:rPr>
          <w:rFonts w:ascii="Arial" w:hAnsi="Arial" w:cs="Arial"/>
        </w:rPr>
        <w:t xml:space="preserve"> é capaz de fundamentar intervenções imediatas nesse campo, sem que se possa cogitar ofensa à separação de poderes: </w:t>
      </w:r>
    </w:p>
    <w:p w14:paraId="2C1762F9"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 a adoção do conceito de 'mínimo existencial' é feita para possibilitar a tutela jurisdicional imediata, sem a necessidade de prévia ponderação do Legislativo ou do Executivo por meio de política pública específica, e sem a possibilidade de questionamento, em juízo, das condições práticas de sua efetivação, vale dizer, sem sujeição à cláusula da 'reserva do possível' […].</w:t>
      </w:r>
    </w:p>
    <w:p w14:paraId="183CB1F1"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Admitir-se que em relação ao 'mínimo existencial' possa o Estado alegar qualquer espécie de obstáculo ou dificuldade de ordem material, invocando a cláusula da 'reserva do possível', será o mesmo que admitir que alguém possa continuar vivendo em estado de indignidade, o que afrontaria um dos fundamentos da nossa Constituição, que é a dignidade da pessoa humana (art. 1º, inciso III).</w:t>
      </w:r>
    </w:p>
    <w:p w14:paraId="6B8328F7"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Em 2022, no julgamento de Medida Cautelar na ADPF n.º 635, o Min. Gilmar Mendes, de forma elucidativa, abordou em seu voto a difícil tarefa de concretizar direitos fundamentais que já são garantidos, ao menos em tese, a grupos em situação de vulnerabilidade:</w:t>
      </w:r>
    </w:p>
    <w:p w14:paraId="21C77156"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lastRenderedPageBreak/>
        <w:t>Nesses casos, os direitos fundamentais dessas pessoas permanecem, na maior parte do tempo, abaixo do radar das discussões da opinião pública. Ademais, os casos de graves violações de direitos fundamentais por vezes não envolvem grandes divergências acerca da existência, definição ou conteúdo do direito em disputa já que, em inúmeras situações, as violações aos direitos fundamentais são flagrantes e evidentes.</w:t>
      </w:r>
    </w:p>
    <w:p w14:paraId="7B53AF67" w14:textId="77777777" w:rsidR="00AE07BB" w:rsidRPr="00F95FD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 xml:space="preserve">Nessas </w:t>
      </w:r>
      <w:r w:rsidRPr="00F95FD7">
        <w:rPr>
          <w:rFonts w:ascii="Arial" w:hAnsi="Arial" w:cs="Arial"/>
          <w:sz w:val="20"/>
          <w:szCs w:val="20"/>
        </w:rPr>
        <w:t xml:space="preserve">situações, o foco da questão não é sobre a existência ou delimitação de um direito fundamental, mas sim sobre como concretizar ou garantir minimamente direitos básicos já definidos pelos poderes democráticos a todos os cidadãos, mesmo diante de uma situação de prolongada inércia e omissão do poder público na efetivação dessas garantias básicas a determinados grupos. </w:t>
      </w:r>
    </w:p>
    <w:p w14:paraId="547D0757"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 xml:space="preserve">Em situações como essa, na qual já há, por vezes, até mesmo a definição de determinada prestação material por parte do poder público, que só não é cumprida em virtude das falhas burocráticas do Estado, não há de se falar sequer em ativismo judicial. (ADPF 635-MC, Rel. Min. Edson Fachin, Tribunal Pleno, </w:t>
      </w:r>
      <w:proofErr w:type="spellStart"/>
      <w:r w:rsidRPr="009529B7">
        <w:rPr>
          <w:rFonts w:ascii="Arial" w:hAnsi="Arial" w:cs="Arial"/>
          <w:sz w:val="20"/>
          <w:szCs w:val="20"/>
        </w:rPr>
        <w:t>DJe</w:t>
      </w:r>
      <w:proofErr w:type="spellEnd"/>
      <w:r w:rsidRPr="009529B7">
        <w:rPr>
          <w:rFonts w:ascii="Arial" w:hAnsi="Arial" w:cs="Arial"/>
          <w:sz w:val="20"/>
          <w:szCs w:val="20"/>
        </w:rPr>
        <w:t xml:space="preserve"> de 2/6/2022)</w:t>
      </w:r>
    </w:p>
    <w:p w14:paraId="4E2E9C59" w14:textId="56F07029" w:rsidR="00A24860" w:rsidRDefault="00A24860" w:rsidP="009529B7">
      <w:pPr>
        <w:autoSpaceDE w:val="0"/>
        <w:autoSpaceDN w:val="0"/>
        <w:adjustRightInd w:val="0"/>
        <w:spacing w:after="240" w:line="360" w:lineRule="auto"/>
        <w:jc w:val="both"/>
        <w:rPr>
          <w:rFonts w:ascii="Arial" w:hAnsi="Arial" w:cs="Arial"/>
        </w:rPr>
      </w:pPr>
      <w:r>
        <w:rPr>
          <w:rFonts w:ascii="Arial" w:hAnsi="Arial" w:cs="Arial"/>
        </w:rPr>
        <w:t>A respeito da possibilidade de controle jurisdicional de políticas públicas no âmbito específico da Rede de Atenção Psicossocial, mencione-se a jurisprudência</w:t>
      </w:r>
      <w:r w:rsidR="00C86B8C">
        <w:rPr>
          <w:rFonts w:ascii="Arial" w:hAnsi="Arial" w:cs="Arial"/>
        </w:rPr>
        <w:t xml:space="preserve"> dos Tribunais de Justiça</w:t>
      </w:r>
      <w:r>
        <w:rPr>
          <w:rFonts w:ascii="Arial" w:hAnsi="Arial" w:cs="Arial"/>
        </w:rPr>
        <w:t>:</w:t>
      </w:r>
    </w:p>
    <w:p w14:paraId="6338FF53" w14:textId="79099B9A" w:rsidR="00A24860" w:rsidRPr="00A24860" w:rsidRDefault="00A24860" w:rsidP="00A24860">
      <w:pPr>
        <w:autoSpaceDE w:val="0"/>
        <w:autoSpaceDN w:val="0"/>
        <w:adjustRightInd w:val="0"/>
        <w:spacing w:after="240" w:line="360" w:lineRule="auto"/>
        <w:ind w:left="2268"/>
        <w:jc w:val="both"/>
        <w:rPr>
          <w:rFonts w:ascii="Arial" w:hAnsi="Arial" w:cs="Arial"/>
          <w:sz w:val="20"/>
          <w:szCs w:val="20"/>
        </w:rPr>
      </w:pPr>
      <w:r w:rsidRPr="00A24860">
        <w:rPr>
          <w:rFonts w:ascii="Arial" w:hAnsi="Arial" w:cs="Arial"/>
          <w:sz w:val="20"/>
          <w:szCs w:val="20"/>
        </w:rPr>
        <w:t>EMENTA: REEXAME NECESSÁRIO. APELAÇÕES CÍVEIS. AÇÃO CIVIL PÚBLICA. IMPLANTAÇÃO DE POLÍTICA PÚBLICA . RESIDÊNCIAS TERAPÊUTICAS. PACIENTES COM TRANSTORNOS MENTAIS. MUNICÍPIO DE CAPELINHA. Há de ser reconhecido o dever do Estado e do Município na implantação de residências terapêuticas para acolhimento dos portadores de transtornos mentais egressos de hospitais psiquiátricos e internados por longa data, sem família ou condições de reintegração na sociedade, a partir de verbas públicas já disponibilizadas para o cumprimento da Lei n .º 10.216/01 e Portaria do Ministério da Saúde n.º 3.088/11, observados os princípios da legalidade e da eficiência . Em reexame, confirmar a sentença. Primeiro recurso de apelação prejudicado. Segundo recurso conhecido e provido em parte. (TJ-MG - AC: 00176892020158130123 Capelinha, Relator.: Des .(a) Albergaria Costa, Data de Julgamento: 11/07/2019, 3ª CÂMARA CÍVEL, Data de Publicação: 23/07/2019)</w:t>
      </w:r>
    </w:p>
    <w:p w14:paraId="141A642A" w14:textId="07553B4D" w:rsidR="00A24860" w:rsidRDefault="00A24860" w:rsidP="00A24860">
      <w:pPr>
        <w:autoSpaceDE w:val="0"/>
        <w:autoSpaceDN w:val="0"/>
        <w:adjustRightInd w:val="0"/>
        <w:spacing w:after="240" w:line="360" w:lineRule="auto"/>
        <w:ind w:left="2268"/>
        <w:jc w:val="both"/>
        <w:rPr>
          <w:rFonts w:ascii="Arial" w:hAnsi="Arial" w:cs="Arial"/>
        </w:rPr>
      </w:pPr>
      <w:r w:rsidRPr="00A24860">
        <w:rPr>
          <w:rFonts w:ascii="Arial" w:hAnsi="Arial" w:cs="Arial"/>
          <w:sz w:val="20"/>
          <w:szCs w:val="20"/>
        </w:rPr>
        <w:t xml:space="preserve">REEXAME NECESSÁRIO. AÇÃO CIVIL PÚBLICA. DIREITOS DOS PACIENTES PORTADORES DE TRANSTORNOS MENTAIS. SERVIÇO DE </w:t>
      </w:r>
      <w:r w:rsidRPr="00A24860">
        <w:rPr>
          <w:rFonts w:ascii="Arial" w:hAnsi="Arial" w:cs="Arial"/>
          <w:sz w:val="20"/>
          <w:szCs w:val="20"/>
        </w:rPr>
        <w:lastRenderedPageBreak/>
        <w:t xml:space="preserve">RESIDÊNCIA TERAPÊUTICA -SRT . SENTENÇA DE PROCEDÊNCIA. Ação civil pública ajuizada pelo Ministério Público do Estado do Rio de Janeiro em face do Município de Natividade, objetivando a implantação do serviço de residência terapêutica, no âmbito municipal, e a transferência de pacientes oriundos de Natividade, que se encontravam internados em Clínica de Repouso localizada em outro município, descredenciada do SUS por inúmeras irregularidades. Duplo grau obrigatório de jurisdição com fulcro no Código de Processo Civil de 1973. Repasse de incentivo financeiro pelo Ministério da Saúde nos moldes da Portaria nº 3 .090/2011. Ente municipal que efetivou o funcionamento do SRT, em 10/12/2012, com credenciamento publicado em 06/03/2013, após a propositura do presente feito. Pretensão ministerial no sentido de implantação do serviço de residência terapêutica, o qual se pauta na reabilitação psicossocial, na humanização do atendimento psiquiátrico e na redução das internações hospitalares, consoante preceitua a Portaria nº 106/2000 do Ministério da Saúde. Direito à vida e à saúde que são assegurados a todos pelos artigos 5º, 6º e 196 da CRFB/88 . As controvérsias que envolvem tratamento de pessoas com transtornos mentais devem ser guiadas pelas diretrizes que pautam a Lei de Reforma Psiquiátrica, a saber, o tratamento do paciente como sujeito de direitos, a assistência médica integral, a reinserção social e familiar e a disponibilidade de ambientes terapêuticos adequados. Avanços na política de saúde mental, que se atribui à condenação imposta ao Brasil pela Corte Internacional de Direitos Humanos no caso Damião Ximenes Lopes </w:t>
      </w:r>
      <w:proofErr w:type="spellStart"/>
      <w:r w:rsidRPr="00A24860">
        <w:rPr>
          <w:rFonts w:ascii="Arial" w:hAnsi="Arial" w:cs="Arial"/>
          <w:sz w:val="20"/>
          <w:szCs w:val="20"/>
        </w:rPr>
        <w:t>vs</w:t>
      </w:r>
      <w:proofErr w:type="spellEnd"/>
      <w:r w:rsidRPr="00A24860">
        <w:rPr>
          <w:rFonts w:ascii="Arial" w:hAnsi="Arial" w:cs="Arial"/>
          <w:sz w:val="20"/>
          <w:szCs w:val="20"/>
        </w:rPr>
        <w:t xml:space="preserve"> Brasil. Lei nº 10.216/2001 que visa implantar um novo modelo de estruturação para serviços de saúde mental centrado na integração entre Estado, sociedade e família e no processo antimanicomial, ou seja, a internação deve ser medida excepcional . Advento da Portaria nº 106/2000 do Ministério da Saúde, criando os </w:t>
      </w:r>
      <w:proofErr w:type="spellStart"/>
      <w:r w:rsidRPr="00A24860">
        <w:rPr>
          <w:rFonts w:ascii="Arial" w:hAnsi="Arial" w:cs="Arial"/>
          <w:sz w:val="20"/>
          <w:szCs w:val="20"/>
        </w:rPr>
        <w:t>SRT's</w:t>
      </w:r>
      <w:proofErr w:type="spellEnd"/>
      <w:r w:rsidRPr="00A24860">
        <w:rPr>
          <w:rFonts w:ascii="Arial" w:hAnsi="Arial" w:cs="Arial"/>
          <w:sz w:val="20"/>
          <w:szCs w:val="20"/>
        </w:rPr>
        <w:t>, com a finalidade de humanização do atendimento psiquiátrico no âmbito do SUS, de reintegração social do usuário e de redução das internações em hospitais psiquiátricos. (TJ-RJ - REMESSA NECESSARIA: 00020852920128190035 201629600465, Relator.: Des(a). ANDRE EMILIO RIBEIRO VON MELENTOVYTCH, Data de Julgamento: 14/02/2017, SEXTA CAMARA DE DIREITO PUBLICO (ANTIGA 21ª CÂMARA CÍVEL), Data de Publicação: 16/02/2017)</w:t>
      </w:r>
    </w:p>
    <w:p w14:paraId="5B8F776F" w14:textId="2A0C01AC"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 xml:space="preserve">Portanto, diante da prolongada inércia e omissão do poder público na efetivação dos direitos abstratamente assegurados </w:t>
      </w:r>
      <w:r w:rsidR="00694EE5">
        <w:rPr>
          <w:rFonts w:ascii="Arial" w:hAnsi="Arial" w:cs="Arial"/>
        </w:rPr>
        <w:t>às pessoas em situação de sofrimento mental e usuários da Rede de Atenção Psicossocial</w:t>
      </w:r>
      <w:r w:rsidRPr="009529B7">
        <w:rPr>
          <w:rFonts w:ascii="Arial" w:hAnsi="Arial" w:cs="Arial"/>
        </w:rPr>
        <w:t xml:space="preserve">, a tarefa de concretizar minimamente essas garantias básicas já definidos pelos poderes democráticos em favor de todos os cidadãos, e inclusive a esse grupo, deve ser realizada com a intervenção do Poder </w:t>
      </w:r>
      <w:r w:rsidRPr="009529B7">
        <w:rPr>
          <w:rFonts w:ascii="Arial" w:hAnsi="Arial" w:cs="Arial"/>
        </w:rPr>
        <w:lastRenderedPageBreak/>
        <w:t xml:space="preserve">Judiciário, no quadro dialógico do processo estrutural, garantindo-se a participação da sociedade civil e de </w:t>
      </w:r>
      <w:r w:rsidRPr="009529B7">
        <w:rPr>
          <w:rFonts w:ascii="Arial" w:hAnsi="Arial" w:cs="Arial"/>
          <w:iCs/>
        </w:rPr>
        <w:t>entidades representativas dos grupos impactados</w:t>
      </w:r>
      <w:r w:rsidRPr="009529B7">
        <w:rPr>
          <w:rFonts w:ascii="Arial" w:hAnsi="Arial" w:cs="Arial"/>
        </w:rPr>
        <w:t>.</w:t>
      </w:r>
    </w:p>
    <w:p w14:paraId="43030374" w14:textId="77777777" w:rsidR="00AE07BB" w:rsidRDefault="00AE07BB" w:rsidP="009529B7">
      <w:pPr>
        <w:pBdr>
          <w:top w:val="nil"/>
          <w:left w:val="nil"/>
          <w:bottom w:val="nil"/>
          <w:right w:val="nil"/>
          <w:between w:val="nil"/>
        </w:pBdr>
        <w:spacing w:after="240" w:line="360" w:lineRule="auto"/>
        <w:jc w:val="both"/>
        <w:rPr>
          <w:rFonts w:ascii="Arial" w:hAnsi="Arial" w:cs="Arial"/>
          <w:b/>
          <w:bCs/>
        </w:rPr>
      </w:pPr>
    </w:p>
    <w:p w14:paraId="03F871DF" w14:textId="1EC49719" w:rsidR="00DB570B" w:rsidRPr="00DB570B" w:rsidRDefault="009529B7" w:rsidP="009529B7">
      <w:pPr>
        <w:pBdr>
          <w:top w:val="nil"/>
          <w:left w:val="nil"/>
          <w:bottom w:val="nil"/>
          <w:right w:val="nil"/>
          <w:between w:val="nil"/>
        </w:pBdr>
        <w:spacing w:after="240" w:line="360" w:lineRule="auto"/>
        <w:jc w:val="both"/>
        <w:rPr>
          <w:rFonts w:ascii="Arial" w:hAnsi="Arial" w:cs="Arial"/>
          <w:b/>
          <w:bCs/>
        </w:rPr>
      </w:pPr>
      <w:r>
        <w:rPr>
          <w:rFonts w:ascii="Arial" w:hAnsi="Arial" w:cs="Arial"/>
          <w:b/>
          <w:bCs/>
        </w:rPr>
        <w:t>IV.II</w:t>
      </w:r>
      <w:r w:rsidR="00DB570B" w:rsidRPr="00DB570B">
        <w:rPr>
          <w:rFonts w:ascii="Arial" w:hAnsi="Arial" w:cs="Arial"/>
          <w:b/>
          <w:bCs/>
        </w:rPr>
        <w:t xml:space="preserve">. </w:t>
      </w:r>
      <w:r w:rsidR="004B6B1D" w:rsidRPr="00082965">
        <w:rPr>
          <w:rFonts w:ascii="Arial" w:hAnsi="Arial" w:cs="Arial"/>
          <w:b/>
          <w:bCs/>
        </w:rPr>
        <w:t>PROCESSO COLETIVO ESTRUTURAL: PROCEDIMENTO FLEXÍVEL. PREVALÊNCIA DE SOLUÇÕES CONSENSUAIS E DIALÉTICAS. TÉCNICAS PROCESSUAIS DIFERENCIADAS.</w:t>
      </w:r>
    </w:p>
    <w:p w14:paraId="530D77E8" w14:textId="588EB02D"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 xml:space="preserve">Tendo em vista a complexidade do quadro fático acima delineado, bem como o diagnóstico de debilidade crônica da política pública para </w:t>
      </w:r>
      <w:r w:rsidR="00694EE5">
        <w:rPr>
          <w:rFonts w:ascii="Arial" w:hAnsi="Arial" w:cs="Arial"/>
        </w:rPr>
        <w:t>os usuários da Rede de Atenção Psicossocial</w:t>
      </w:r>
      <w:r w:rsidRPr="009529B7">
        <w:rPr>
          <w:rFonts w:ascii="Arial" w:hAnsi="Arial" w:cs="Arial"/>
        </w:rPr>
        <w:t xml:space="preserve"> no Município de </w:t>
      </w:r>
      <w:r w:rsidR="00EE5314">
        <w:rPr>
          <w:rFonts w:ascii="Arial" w:hAnsi="Arial" w:cs="Arial"/>
        </w:rPr>
        <w:t xml:space="preserve">[...] </w:t>
      </w:r>
      <w:r w:rsidRPr="009529B7">
        <w:rPr>
          <w:rFonts w:ascii="Arial" w:hAnsi="Arial" w:cs="Arial"/>
        </w:rPr>
        <w:t>MG, vislumbra-se a necessidade de conferir um enfoque estrutural à resolução do litígio, o qual terá repercussões procedimentais relevantes, conforme se discorrerá a seguir.</w:t>
      </w:r>
    </w:p>
    <w:p w14:paraId="46BDE017" w14:textId="7F2CC31D" w:rsidR="00AE07BB" w:rsidRPr="009529B7" w:rsidRDefault="009529B7" w:rsidP="009529B7">
      <w:pPr>
        <w:autoSpaceDE w:val="0"/>
        <w:autoSpaceDN w:val="0"/>
        <w:adjustRightInd w:val="0"/>
        <w:spacing w:after="240" w:line="360" w:lineRule="auto"/>
        <w:jc w:val="both"/>
        <w:rPr>
          <w:rFonts w:ascii="Arial" w:hAnsi="Arial" w:cs="Arial"/>
        </w:rPr>
      </w:pPr>
      <w:r w:rsidRPr="009529B7">
        <w:rPr>
          <w:rFonts w:ascii="Arial" w:hAnsi="Arial" w:cs="Arial"/>
        </w:rPr>
        <w:t>C</w:t>
      </w:r>
      <w:r w:rsidR="00AE07BB" w:rsidRPr="009529B7">
        <w:rPr>
          <w:rFonts w:ascii="Arial" w:hAnsi="Arial" w:cs="Arial"/>
        </w:rPr>
        <w:t>umpre trazer breve conceito doutrinário do que se entende por litígio estrutural e das suas marcas de complexidade e conflituosidade:</w:t>
      </w:r>
    </w:p>
    <w:p w14:paraId="7D4A9FE7"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Assim, o litígio estrutural é um litígio irradiado no qual a violação surge em decorrência não de um ato isolado no tempo, mas do funcionamento e uma estrutura (entendia como instituição, política ou programa) pública ou privada, do qual deriva um padrão reiterado de violações a direitos, que cria, fomento ou viabiliza o conflito. O litígio estrutural afeta uma sociedade irradiada de pessoas, com elevada complexidade e conflituosidade, as quais decorrem dos distintos modos como os subgrupos sociais se relacionam com a estrutura (...). Em virtude das características contextuais em que ocorre, a solução desse litígio, para ser significativamente duradoura, exige a restruturação do funcionamento da estrutura.</w:t>
      </w:r>
      <w:r w:rsidRPr="009529B7">
        <w:rPr>
          <w:rStyle w:val="Refdenotaderodap"/>
          <w:rFonts w:ascii="Arial" w:hAnsi="Arial" w:cs="Arial"/>
          <w:sz w:val="20"/>
          <w:szCs w:val="20"/>
        </w:rPr>
        <w:footnoteReference w:id="2"/>
      </w:r>
    </w:p>
    <w:p w14:paraId="32E5610C"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Assim, a questão enfrentada se amolda perfeitamente ao conceito de litígio estrutural, haja vista que, a partir dos levantamentos instrutórios realizados pela Defensoria Pública, por meio de reuniões, oitivas, inspeções, ofícios de requisição e recomendações, pôde-se observar um padrão de comportamento por parte do Ente Federativo que provoca violações sistemáticas de direitos fundamentais.</w:t>
      </w:r>
    </w:p>
    <w:p w14:paraId="58DA9E7D" w14:textId="6EF9503E" w:rsidR="00EE5314" w:rsidRPr="00EE5314" w:rsidRDefault="00AE07BB" w:rsidP="00EE5314">
      <w:pPr>
        <w:autoSpaceDE w:val="0"/>
        <w:autoSpaceDN w:val="0"/>
        <w:adjustRightInd w:val="0"/>
        <w:spacing w:after="240" w:line="360" w:lineRule="auto"/>
        <w:jc w:val="both"/>
        <w:rPr>
          <w:rFonts w:ascii="Arial" w:hAnsi="Arial" w:cs="Arial"/>
        </w:rPr>
      </w:pPr>
      <w:r w:rsidRPr="009529B7">
        <w:rPr>
          <w:rFonts w:ascii="Arial" w:hAnsi="Arial" w:cs="Arial"/>
        </w:rPr>
        <w:t>Além disso, nota-se acentuada conflituosidade entre grupos e subgrupos, haja vista que</w:t>
      </w:r>
      <w:r w:rsidR="00EE5314">
        <w:rPr>
          <w:rFonts w:ascii="Arial" w:hAnsi="Arial" w:cs="Arial"/>
        </w:rPr>
        <w:t>, d</w:t>
      </w:r>
      <w:r w:rsidR="00EE5314" w:rsidRPr="00EE5314">
        <w:rPr>
          <w:rFonts w:ascii="Arial" w:hAnsi="Arial" w:cs="Arial"/>
        </w:rPr>
        <w:t xml:space="preserve">e um lado, os usuários em sofrimento mental buscam o respeito à sua </w:t>
      </w:r>
      <w:r w:rsidR="00EE5314" w:rsidRPr="00EE5314">
        <w:rPr>
          <w:rFonts w:ascii="Arial" w:hAnsi="Arial" w:cs="Arial"/>
        </w:rPr>
        <w:lastRenderedPageBreak/>
        <w:t>autonomia, dignidade e ao cuidado em liberdade, frequentemente recusando serviços públicos que se mostram violentos, estigmatizantes ou focados no confinamento. De outro, familiares e a comunidade enfrentam o esgotamento físico e emocional do cuidado ininterrupto sem qualquer suporte estatal, sendo obrigados a administrar crises graves e episódios de risco nas vias públicas ou no ambiente doméstico.</w:t>
      </w:r>
    </w:p>
    <w:p w14:paraId="5413147C" w14:textId="1E5DFFB4" w:rsidR="00EE5314" w:rsidRPr="009529B7" w:rsidRDefault="00EE5314" w:rsidP="009529B7">
      <w:pPr>
        <w:autoSpaceDE w:val="0"/>
        <w:autoSpaceDN w:val="0"/>
        <w:adjustRightInd w:val="0"/>
        <w:spacing w:after="240" w:line="360" w:lineRule="auto"/>
        <w:jc w:val="both"/>
        <w:rPr>
          <w:rFonts w:ascii="Arial" w:hAnsi="Arial" w:cs="Arial"/>
        </w:rPr>
      </w:pPr>
      <w:r w:rsidRPr="00EE5314">
        <w:rPr>
          <w:rFonts w:ascii="Arial" w:hAnsi="Arial" w:cs="Arial"/>
        </w:rPr>
        <w:t>Esse cenário de desamparo gera um</w:t>
      </w:r>
      <w:r>
        <w:rPr>
          <w:rFonts w:ascii="Arial" w:hAnsi="Arial" w:cs="Arial"/>
        </w:rPr>
        <w:t xml:space="preserve">a situação de desajuste social, </w:t>
      </w:r>
      <w:r w:rsidRPr="00EE5314">
        <w:rPr>
          <w:rFonts w:ascii="Arial" w:hAnsi="Arial" w:cs="Arial"/>
        </w:rPr>
        <w:t>em que a proteção dos direitos de um subgrupo passa a ser percebida como um prejuízo ao outro. Sem o socorro de equipes de crise 24 horas e de moradias assistidas, famílias e atores sociais acabam clamando por medidas extremas, como a internação compulsória e o isolamento, entrando em confronto direto com o direito de liberdade do paciente. Assim, a omissão estatal contamina a convivência social e fragmenta a coletividade, tornando indispensável a intervenção via processo estrutural para reorganizar as políticas públicas e harmonizar os direitos à autonomia do usuário e ao suporte adequado às suas famílias.</w:t>
      </w:r>
    </w:p>
    <w:p w14:paraId="313C27EF"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Como se percebe, a sistemática do processo coletivo estrutural deve ser aplicada nos casos em que a aplicação do direito exige uma ruptura com o comportamento até então adotado pelos atores sociais, por meio de um esforço de legalidade, tomando-se o estado de desconformidade normativa como ponto de partida para encontrar formas de cessar o comportamento ou o contexto estrutural que o favorece.</w:t>
      </w:r>
    </w:p>
    <w:p w14:paraId="6BD4D91C"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 xml:space="preserve">Os professores </w:t>
      </w:r>
      <w:proofErr w:type="spellStart"/>
      <w:r w:rsidRPr="009529B7">
        <w:rPr>
          <w:rFonts w:ascii="Arial" w:hAnsi="Arial" w:cs="Arial"/>
        </w:rPr>
        <w:t>Fredie</w:t>
      </w:r>
      <w:proofErr w:type="spellEnd"/>
      <w:r w:rsidRPr="009529B7">
        <w:rPr>
          <w:rFonts w:ascii="Arial" w:hAnsi="Arial" w:cs="Arial"/>
        </w:rPr>
        <w:t xml:space="preserve"> Didier Jr. e Hermes Zanetti Jr., em estudo abrangente sobre o tema</w:t>
      </w:r>
      <w:r w:rsidRPr="009529B7">
        <w:rPr>
          <w:rStyle w:val="Refdenotaderodap"/>
          <w:rFonts w:ascii="Arial" w:hAnsi="Arial" w:cs="Arial"/>
        </w:rPr>
        <w:footnoteReference w:id="3"/>
      </w:r>
      <w:r w:rsidRPr="009529B7">
        <w:rPr>
          <w:rFonts w:ascii="Arial" w:hAnsi="Arial" w:cs="Arial"/>
        </w:rPr>
        <w:t>, conceituam o processo estrutural da seguinte forma:</w:t>
      </w:r>
    </w:p>
    <w:p w14:paraId="5F99E67B"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O processo estrutural se caracteriza por: (i) pautar-se na discussão de um problema estrutural, um estado de coisas ilícito, um estado de desconformidade, ou qualquer outro nome que se queira utilizar para designar uma situação de desconformidade estruturada; (</w:t>
      </w:r>
      <w:proofErr w:type="spellStart"/>
      <w:r w:rsidRPr="009529B7">
        <w:rPr>
          <w:rFonts w:ascii="Arial" w:hAnsi="Arial" w:cs="Arial"/>
          <w:sz w:val="20"/>
          <w:szCs w:val="20"/>
        </w:rPr>
        <w:t>ii</w:t>
      </w:r>
      <w:proofErr w:type="spellEnd"/>
      <w:r w:rsidRPr="009529B7">
        <w:rPr>
          <w:rFonts w:ascii="Arial" w:hAnsi="Arial" w:cs="Arial"/>
          <w:sz w:val="20"/>
          <w:szCs w:val="20"/>
        </w:rPr>
        <w:t>) buscar uma transição desse estado de desconformidade para um estado ideal de coisas (uma reestruturação, pois), removendo a situação de desconformidade, mediante decisão de implementação escalonada; (</w:t>
      </w:r>
      <w:proofErr w:type="spellStart"/>
      <w:r w:rsidRPr="009529B7">
        <w:rPr>
          <w:rFonts w:ascii="Arial" w:hAnsi="Arial" w:cs="Arial"/>
          <w:sz w:val="20"/>
          <w:szCs w:val="20"/>
        </w:rPr>
        <w:t>iii</w:t>
      </w:r>
      <w:proofErr w:type="spellEnd"/>
      <w:r w:rsidRPr="009529B7">
        <w:rPr>
          <w:rFonts w:ascii="Arial" w:hAnsi="Arial" w:cs="Arial"/>
          <w:sz w:val="20"/>
          <w:szCs w:val="20"/>
        </w:rPr>
        <w:t>) desenvolver-se num procedimento bifásico, que inclua o reconhecimento e a definição do problema estrutural e estabeleça o programa ou projeto de reestruturação que será seguido; (</w:t>
      </w:r>
      <w:proofErr w:type="spellStart"/>
      <w:r w:rsidRPr="009529B7">
        <w:rPr>
          <w:rFonts w:ascii="Arial" w:hAnsi="Arial" w:cs="Arial"/>
          <w:sz w:val="20"/>
          <w:szCs w:val="20"/>
        </w:rPr>
        <w:t>iv</w:t>
      </w:r>
      <w:proofErr w:type="spellEnd"/>
      <w:r w:rsidRPr="009529B7">
        <w:rPr>
          <w:rFonts w:ascii="Arial" w:hAnsi="Arial" w:cs="Arial"/>
          <w:sz w:val="20"/>
          <w:szCs w:val="20"/>
        </w:rPr>
        <w:t xml:space="preserve">) desenvolver-se num procedimento marcado por sua flexibilidade intrínseca, com a possibilidade de adoção de formas atípicas de </w:t>
      </w:r>
      <w:r w:rsidRPr="009529B7">
        <w:rPr>
          <w:rFonts w:ascii="Arial" w:hAnsi="Arial" w:cs="Arial"/>
          <w:sz w:val="20"/>
          <w:szCs w:val="20"/>
        </w:rPr>
        <w:lastRenderedPageBreak/>
        <w:t>intervenção de terceiros e de medidas executivas, de alteração do objeto litigioso, de utilização de mecanismos de cooperação judiciária; (v) pela consensualidade, que abranja inclusive a adaptação do processo (art. 190 do CPC).</w:t>
      </w:r>
    </w:p>
    <w:p w14:paraId="2E2BD853"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Destaca-se, nesse sentido, que a dinâmica do processo estrutural se dá pela transição desse estado de desconformidade para um estado ideal de coisas, de forma escalonada, num procedimento marcado por sua flexibilidade intrínseca, com a possibilidade de adoção de formas atípicas, de alteração do objeto litigioso, e de utilização de mecanismos de cooperação judiciária.</w:t>
      </w:r>
    </w:p>
    <w:p w14:paraId="6316A13F"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Os autores afirmam ser impossível realizar a definição prévia do procedimento a ser desenvolvido no processo estrutural, sustentando assim a adoção de técnicas processuais flexíveis, com atenuação d</w:t>
      </w:r>
      <w:r w:rsidRPr="009529B7">
        <w:rPr>
          <w:rFonts w:ascii="Arial" w:hAnsi="Arial" w:cs="Arial"/>
          <w:iCs/>
        </w:rPr>
        <w:t>as regras de congruência objetiva e da estabilização objetiva da demanda,</w:t>
      </w:r>
      <w:r w:rsidRPr="009529B7">
        <w:rPr>
          <w:rFonts w:ascii="Arial" w:hAnsi="Arial" w:cs="Arial"/>
        </w:rPr>
        <w:t xml:space="preserve"> a depender do caso concreto:</w:t>
      </w:r>
    </w:p>
    <w:p w14:paraId="7634D775"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É absolutamente inviável estipular previamente os circuitos procedimentais adequados ao desenvolvimento do processo estrutural, tendo em vista a extrema variância dos tipos de litígios estruturais. [...] Existe – e deve existir – certa flexibilidade intrínseca ao procedimento pelo qual se desenvolve o processo estrutural.</w:t>
      </w:r>
    </w:p>
    <w:p w14:paraId="643AA115"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sz w:val="20"/>
          <w:szCs w:val="20"/>
        </w:rPr>
        <w:t xml:space="preserve">Essa flexibilidade deve ser assegurada (i) pela utilização de um procedimento bifásico, aproveitando-se do </w:t>
      </w:r>
      <w:r w:rsidRPr="009529B7">
        <w:rPr>
          <w:rFonts w:ascii="Arial" w:hAnsi="Arial" w:cs="Arial"/>
          <w:i/>
          <w:sz w:val="20"/>
          <w:szCs w:val="20"/>
        </w:rPr>
        <w:t xml:space="preserve">standard </w:t>
      </w:r>
      <w:r w:rsidRPr="009529B7">
        <w:rPr>
          <w:rFonts w:ascii="Arial" w:hAnsi="Arial" w:cs="Arial"/>
          <w:iCs/>
          <w:sz w:val="20"/>
          <w:szCs w:val="20"/>
        </w:rPr>
        <w:t>do processo falimentar, que lhe pode servir de base em razão da previsão legal expressa da possibilidade de fracionamento da resolução do mérito (</w:t>
      </w:r>
      <w:proofErr w:type="spellStart"/>
      <w:r w:rsidRPr="009529B7">
        <w:rPr>
          <w:rFonts w:ascii="Arial" w:hAnsi="Arial" w:cs="Arial"/>
          <w:iCs/>
          <w:sz w:val="20"/>
          <w:szCs w:val="20"/>
        </w:rPr>
        <w:t>arts</w:t>
      </w:r>
      <w:proofErr w:type="spellEnd"/>
      <w:r w:rsidRPr="009529B7">
        <w:rPr>
          <w:rFonts w:ascii="Arial" w:hAnsi="Arial" w:cs="Arial"/>
          <w:iCs/>
          <w:sz w:val="20"/>
          <w:szCs w:val="20"/>
        </w:rPr>
        <w:t xml:space="preserve">. 354, par. </w:t>
      </w:r>
      <w:proofErr w:type="spellStart"/>
      <w:r w:rsidRPr="009529B7">
        <w:rPr>
          <w:rFonts w:ascii="Arial" w:hAnsi="Arial" w:cs="Arial"/>
          <w:iCs/>
          <w:sz w:val="20"/>
          <w:szCs w:val="20"/>
        </w:rPr>
        <w:t>ún</w:t>
      </w:r>
      <w:proofErr w:type="spellEnd"/>
      <w:r w:rsidRPr="009529B7">
        <w:rPr>
          <w:rFonts w:ascii="Arial" w:hAnsi="Arial" w:cs="Arial"/>
          <w:iCs/>
          <w:sz w:val="20"/>
          <w:szCs w:val="20"/>
        </w:rPr>
        <w:t>., e 356, CPC); e (</w:t>
      </w:r>
      <w:proofErr w:type="spellStart"/>
      <w:r w:rsidRPr="009529B7">
        <w:rPr>
          <w:rFonts w:ascii="Arial" w:hAnsi="Arial" w:cs="Arial"/>
          <w:iCs/>
          <w:sz w:val="20"/>
          <w:szCs w:val="20"/>
        </w:rPr>
        <w:t>ii</w:t>
      </w:r>
      <w:proofErr w:type="spellEnd"/>
      <w:r w:rsidRPr="009529B7">
        <w:rPr>
          <w:rFonts w:ascii="Arial" w:hAnsi="Arial" w:cs="Arial"/>
          <w:iCs/>
          <w:sz w:val="20"/>
          <w:szCs w:val="20"/>
        </w:rPr>
        <w:t xml:space="preserve">) pela aplicação de técnicas processuais </w:t>
      </w:r>
      <w:proofErr w:type="spellStart"/>
      <w:r w:rsidRPr="009529B7">
        <w:rPr>
          <w:rFonts w:ascii="Arial" w:hAnsi="Arial" w:cs="Arial"/>
          <w:iCs/>
          <w:sz w:val="20"/>
          <w:szCs w:val="20"/>
        </w:rPr>
        <w:t>flexibilizadoras</w:t>
      </w:r>
      <w:proofErr w:type="spellEnd"/>
      <w:r w:rsidRPr="009529B7">
        <w:rPr>
          <w:rFonts w:ascii="Arial" w:hAnsi="Arial" w:cs="Arial"/>
          <w:iCs/>
          <w:sz w:val="20"/>
          <w:szCs w:val="20"/>
        </w:rPr>
        <w:t>, como a que atenua as regras de congruência objetiva e da estabilização objetiva da demanda, a ampliação do regime de participação no processo, a atipicidade dos meios de prova (art. 369, CPC), a atipicidade de medidas executivas (art. 139, IV, e art. 536, § 1º, CPC), e a atipicidade dos instrumentos de cooperação judiciária (art. 69, CPC).</w:t>
      </w:r>
      <w:r w:rsidRPr="009529B7">
        <w:rPr>
          <w:rStyle w:val="Refdenotaderodap"/>
          <w:rFonts w:ascii="Arial" w:hAnsi="Arial" w:cs="Arial"/>
          <w:iCs/>
          <w:sz w:val="20"/>
          <w:szCs w:val="20"/>
        </w:rPr>
        <w:footnoteReference w:id="4"/>
      </w:r>
    </w:p>
    <w:p w14:paraId="38428CF4" w14:textId="77777777" w:rsidR="00AE07BB" w:rsidRPr="009529B7" w:rsidRDefault="00AE07BB" w:rsidP="009529B7">
      <w:pPr>
        <w:autoSpaceDE w:val="0"/>
        <w:autoSpaceDN w:val="0"/>
        <w:adjustRightInd w:val="0"/>
        <w:spacing w:after="240" w:line="360" w:lineRule="auto"/>
        <w:jc w:val="both"/>
        <w:rPr>
          <w:rFonts w:ascii="Arial" w:hAnsi="Arial" w:cs="Arial"/>
          <w:iCs/>
        </w:rPr>
      </w:pPr>
      <w:r w:rsidRPr="009529B7">
        <w:rPr>
          <w:rFonts w:ascii="Arial" w:hAnsi="Arial" w:cs="Arial"/>
          <w:iCs/>
        </w:rPr>
        <w:t>Por conseguinte, os doutrinadores sustentam a possibilidade de formulação de pedido genérico pela parte autora nessas ações, de modo que as formas de implementação de uma eventual decisão estruturante possam ser traçadas doravante:</w:t>
      </w:r>
    </w:p>
    <w:p w14:paraId="6C263CD0"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 xml:space="preserve">É fundamental admitir, nos processos estruturais, certa “plasticidade da demanda”. Assim, basta ao autor formular pedido genérico de conformação </w:t>
      </w:r>
      <w:r w:rsidRPr="009529B7">
        <w:rPr>
          <w:rFonts w:ascii="Arial" w:hAnsi="Arial" w:cs="Arial"/>
          <w:iCs/>
          <w:sz w:val="20"/>
          <w:szCs w:val="20"/>
        </w:rPr>
        <w:lastRenderedPageBreak/>
        <w:t xml:space="preserve">do estado de coisas sobre o qual se afirme a desconformidade – que, por exemplo, o juiz providencie garantir a vida, a integridade física e a dignidade da população carcerária de determinado estabelecimento prisional, que determine seja o empreendimento de usina hidrelétrica implantado em conformidade com as normas vigentes, que determine a adequação do sistema de ensino público municipal, para assegurar que crianças de determinada idade sejam acolhidas em creches em tempo integral, etc. [...] </w:t>
      </w:r>
    </w:p>
    <w:p w14:paraId="11F7DF0B"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O tempo, o modo e o grau, o regime de transição e a forma de avaliação e fiscalização devem ser delineados em momento posterior; não precisam, necessariamente, ser objeto de pedido da parte.</w:t>
      </w:r>
    </w:p>
    <w:p w14:paraId="6D3456A0"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iCs/>
        </w:rPr>
        <w:t>A decisão estrutural é</w:t>
      </w:r>
      <w:r w:rsidRPr="009529B7">
        <w:rPr>
          <w:rFonts w:ascii="Arial" w:hAnsi="Arial" w:cs="Arial"/>
        </w:rPr>
        <w:t xml:space="preserve"> aquela que, partindo da constatação de um estado de desconformidade, estabelece o estado ideal de coisas que se pretende seja implementado (fim) e o modo pelo qual esse resultado deve ser alcançado (meios). </w:t>
      </w:r>
    </w:p>
    <w:p w14:paraId="0BEC29B8" w14:textId="77777777" w:rsidR="00AE07BB" w:rsidRPr="009529B7" w:rsidRDefault="00AE07BB" w:rsidP="009529B7">
      <w:pPr>
        <w:autoSpaceDE w:val="0"/>
        <w:autoSpaceDN w:val="0"/>
        <w:adjustRightInd w:val="0"/>
        <w:spacing w:after="240" w:line="360" w:lineRule="auto"/>
        <w:jc w:val="both"/>
        <w:rPr>
          <w:rFonts w:ascii="Arial" w:hAnsi="Arial" w:cs="Arial"/>
          <w:iCs/>
        </w:rPr>
      </w:pPr>
      <w:r w:rsidRPr="009529B7">
        <w:rPr>
          <w:rFonts w:ascii="Arial" w:hAnsi="Arial" w:cs="Arial"/>
        </w:rPr>
        <w:t>Sobre o seu conteúdo, sustenta-se que “</w:t>
      </w:r>
      <w:r w:rsidRPr="009529B7">
        <w:rPr>
          <w:rFonts w:ascii="Arial" w:hAnsi="Arial" w:cs="Arial"/>
          <w:iCs/>
        </w:rPr>
        <w:t xml:space="preserve">[...] </w:t>
      </w:r>
      <w:r w:rsidRPr="009529B7">
        <w:rPr>
          <w:rFonts w:ascii="Arial" w:hAnsi="Arial" w:cs="Arial"/>
          <w:i/>
        </w:rPr>
        <w:t>é preciso que a decisão estrutural estabeleça, ao menos: (i) o tempo, o modo e o grau da reestruturação a ser implementada; (</w:t>
      </w:r>
      <w:proofErr w:type="spellStart"/>
      <w:r w:rsidRPr="009529B7">
        <w:rPr>
          <w:rFonts w:ascii="Arial" w:hAnsi="Arial" w:cs="Arial"/>
          <w:i/>
        </w:rPr>
        <w:t>ii</w:t>
      </w:r>
      <w:proofErr w:type="spellEnd"/>
      <w:r w:rsidRPr="009529B7">
        <w:rPr>
          <w:rFonts w:ascii="Arial" w:hAnsi="Arial" w:cs="Arial"/>
          <w:i/>
        </w:rPr>
        <w:t>) o regime de transição, conforme art. 34 da LINDB; e (</w:t>
      </w:r>
      <w:proofErr w:type="spellStart"/>
      <w:r w:rsidRPr="009529B7">
        <w:rPr>
          <w:rFonts w:ascii="Arial" w:hAnsi="Arial" w:cs="Arial"/>
          <w:i/>
        </w:rPr>
        <w:t>iii</w:t>
      </w:r>
      <w:proofErr w:type="spellEnd"/>
      <w:r w:rsidRPr="009529B7">
        <w:rPr>
          <w:rFonts w:ascii="Arial" w:hAnsi="Arial" w:cs="Arial"/>
          <w:i/>
        </w:rPr>
        <w:t>) a forma de avaliação/fiscalização permanente das medidas estruturantes</w:t>
      </w:r>
      <w:r w:rsidRPr="009529B7">
        <w:rPr>
          <w:rFonts w:ascii="Arial" w:hAnsi="Arial" w:cs="Arial"/>
          <w:iCs/>
        </w:rPr>
        <w:t>”. A decisão estrutural (que se objetiva alcançar por meio do presente processo), então, deve estipular meios e critérios de monitoramento, avaliação e controle das modificações pretendidas.</w:t>
      </w:r>
    </w:p>
    <w:p w14:paraId="7E093967" w14:textId="77777777" w:rsidR="00AE07BB" w:rsidRPr="009529B7" w:rsidRDefault="00AE07BB" w:rsidP="009529B7">
      <w:pPr>
        <w:autoSpaceDE w:val="0"/>
        <w:autoSpaceDN w:val="0"/>
        <w:adjustRightInd w:val="0"/>
        <w:spacing w:after="240" w:line="360" w:lineRule="auto"/>
        <w:jc w:val="both"/>
        <w:rPr>
          <w:rFonts w:ascii="Arial" w:hAnsi="Arial" w:cs="Arial"/>
          <w:iCs/>
        </w:rPr>
      </w:pPr>
      <w:r w:rsidRPr="009529B7">
        <w:rPr>
          <w:rFonts w:ascii="Arial" w:hAnsi="Arial" w:cs="Arial"/>
          <w:iCs/>
        </w:rPr>
        <w:t>Vale mencionar que a doutrina pátria, enfrentando a atual lacuna normativa do processo estrutural, encontra suporte legal para decisões estruturais na Lei de Introdução às Normas do Direito Brasileiro (Decreto-Lei 4.657/1942, alterado pela Lei n.º 13.655/2018):</w:t>
      </w:r>
    </w:p>
    <w:p w14:paraId="42EC2226"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 xml:space="preserve">Cabe ressaltar que, no Brasil, a pretensão de adoção de uma decisão judicial que determine não uma transformação imediata, mas a formulação de um plano gradual de mudança encontra apoio legal no art. 23 da LINDB que dispõe que o juiz ‘que estabelecer interpretação ou orientação nova sobre norma de conteúdo indeterminado, impondo novo dever ou novo condicionamento de direito, deverá prever regime de transição quando indispensável para que o novo dever ou condicionamento de direito seja cumprido de modo proporcional, equânime e eficiente e sem prejuízos aos interesses gerais. (...) Assim, processos estruturais são sempre processos coletivos, uma vez que sempre envolverão uma pretensão, apresentada por um legitimado coletivo, de realizar uma transformação progressiva, duradoura </w:t>
      </w:r>
      <w:r w:rsidRPr="009529B7">
        <w:rPr>
          <w:rFonts w:ascii="Arial" w:hAnsi="Arial" w:cs="Arial"/>
          <w:iCs/>
          <w:sz w:val="20"/>
          <w:szCs w:val="20"/>
        </w:rPr>
        <w:lastRenderedPageBreak/>
        <w:t>e prospectiva, em uma estrutura que tem impacto sobre a sociedade, em benefício desta.</w:t>
      </w:r>
      <w:r w:rsidRPr="009529B7">
        <w:rPr>
          <w:rStyle w:val="Refdenotaderodap"/>
          <w:rFonts w:ascii="Arial" w:hAnsi="Arial" w:cs="Arial"/>
          <w:iCs/>
          <w:sz w:val="20"/>
          <w:szCs w:val="20"/>
        </w:rPr>
        <w:footnoteReference w:id="5"/>
      </w:r>
    </w:p>
    <w:p w14:paraId="77E6DDD9"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Por conseguinte, o almejado plano, a ser apresentado pelo Município requerido para a restruturação institucional de suas práticas e políticas públicas, nada mais é do que um regime de transição, pelo qual medidas escalonadas serão paulatinamente cumpridas, atravessando-se um percurso que se inicia no estado de coisas inconstitucional, até se alcançar o resultado de conformação à legalidade e de garantia de direitos fundamentais.</w:t>
      </w:r>
    </w:p>
    <w:p w14:paraId="6ED9CA10"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 xml:space="preserve">A propósito, em 2023, no julgamento RE 684612 (Tema 698 de Repercussão Geral), o Supremo Tribunal Federal reconheceu a viabilidade do processo estrutural, afastando possíveis alegações de violação ao princípio da separação dos Poderes, em especial quando há </w:t>
      </w:r>
      <w:r w:rsidRPr="009529B7">
        <w:rPr>
          <w:rFonts w:ascii="Arial" w:hAnsi="Arial" w:cs="Arial"/>
          <w:i/>
          <w:iCs/>
        </w:rPr>
        <w:t>ausência ou deficiência grave da política pública</w:t>
      </w:r>
      <w:r w:rsidRPr="009529B7">
        <w:rPr>
          <w:rFonts w:ascii="Arial" w:hAnsi="Arial" w:cs="Arial"/>
        </w:rPr>
        <w:t>. A tese aprovada pelo Plenário do STF foi a seguinte:</w:t>
      </w:r>
    </w:p>
    <w:p w14:paraId="3429A7F2"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A intervenção do Poder Judiciário em políticas públicas voltadas à realização de direitos fundamentais, em caso de ausência ou deficiência grave do serviço, não viola o princípio da separação dos poderes. 2. A decisão judicial, como regra, em lugar de determinar medidas pontuais, deve apontar as finalidades a serem alcançadas e determinar à Administração Pública que apresente um plano e/ou os meios adequados para alcançar o resultado. (STF - RE: 684612 RJ, Relator: Ricardo Lewandowski, Data de Julgamento: 03/07/2023, Tribunal Pleno, Data de Publicação: 07/08/2023)</w:t>
      </w:r>
    </w:p>
    <w:p w14:paraId="3D1CCA8D"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Portanto, a decisão judicial, nesses casos, em lugar de definir obrigações pontuais e específicas, deve priorizar a estipulação dos objetivos que deverão ser perseguidos e a apresentação de um plano concreto, com a definição de meios hábeis a atingi-lo.</w:t>
      </w:r>
    </w:p>
    <w:p w14:paraId="149362AF" w14:textId="5767EF45"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Ainda nesse cenário, a Comissão de Juristas Responsável pela Elaboração de Anteprojeto de Lei do Processo Estrutural no Brasil (CJPRESTR) apresentou à Presidência do Senado, em dezembro de 2024, o anteprojeto de lei sobre processo estrutural brasileiro, para que possa tramitar como matéria legislativa</w:t>
      </w:r>
      <w:r w:rsidRPr="009529B7">
        <w:rPr>
          <w:rStyle w:val="Refdenotaderodap"/>
          <w:rFonts w:ascii="Arial" w:hAnsi="Arial" w:cs="Arial"/>
        </w:rPr>
        <w:footnoteReference w:id="6"/>
      </w:r>
      <w:r w:rsidRPr="009529B7">
        <w:rPr>
          <w:rFonts w:ascii="Arial" w:hAnsi="Arial" w:cs="Arial"/>
        </w:rPr>
        <w:t xml:space="preserve">. </w:t>
      </w:r>
    </w:p>
    <w:p w14:paraId="753D96C8"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lastRenderedPageBreak/>
        <w:t>O texto aprovado define processos estruturais como “</w:t>
      </w:r>
      <w:r w:rsidRPr="009529B7">
        <w:rPr>
          <w:rFonts w:ascii="Arial" w:hAnsi="Arial" w:cs="Arial"/>
          <w:i/>
          <w:iCs/>
        </w:rPr>
        <w:t>ações civis públicas destinadas a lidar com problemas estruturais</w:t>
      </w:r>
      <w:r w:rsidRPr="009529B7">
        <w:rPr>
          <w:rFonts w:ascii="Arial" w:hAnsi="Arial" w:cs="Arial"/>
        </w:rPr>
        <w:t>”. Os problemas estruturais, por sua vez, “</w:t>
      </w:r>
      <w:r w:rsidRPr="009529B7">
        <w:rPr>
          <w:rFonts w:ascii="Arial" w:hAnsi="Arial" w:cs="Arial"/>
          <w:i/>
          <w:iCs/>
        </w:rPr>
        <w:t>são aqueles que não permitem solução adequada pelas técnicas tradicionais do processo comum, individual ou coletivo</w:t>
      </w:r>
      <w:r w:rsidRPr="009529B7">
        <w:rPr>
          <w:rFonts w:ascii="Arial" w:hAnsi="Arial" w:cs="Arial"/>
        </w:rPr>
        <w:t>”. A minuta conceitua o objeto do processo estrutural como o “</w:t>
      </w:r>
      <w:r w:rsidRPr="009529B7">
        <w:rPr>
          <w:rFonts w:ascii="Arial" w:hAnsi="Arial" w:cs="Arial"/>
          <w:i/>
          <w:iCs/>
        </w:rPr>
        <w:t>conflito coletivo de significativa abrangência social, cuja solução adequada demanda providências prospectivas, graduais e duradouras</w:t>
      </w:r>
      <w:r w:rsidRPr="009529B7">
        <w:rPr>
          <w:rFonts w:ascii="Arial" w:hAnsi="Arial" w:cs="Arial"/>
        </w:rPr>
        <w:t xml:space="preserve">”. </w:t>
      </w:r>
    </w:p>
    <w:p w14:paraId="56CE743C"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rPr>
        <w:t>Tais conceitos indicam a necessidade de um procedimento flexível, que possibilite a adoção de técnicas dúcteis, e de soluções consensuais:</w:t>
      </w:r>
    </w:p>
    <w:p w14:paraId="494E0C1F"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O anteprojeto estabelece como norma fundamental do processo estrutural o diálogo entre magistradas, magistrados, partes e demais interessados – entre eles os potenciais impactados pela decisão. O texto prevê a participação de todos os grupos impactados, mediante a realização de consultas e audiências públicas e outras formas de participação direta e indireta.</w:t>
      </w:r>
    </w:p>
    <w:p w14:paraId="5233D16F" w14:textId="77777777" w:rsidR="00AE07BB" w:rsidRPr="009529B7" w:rsidRDefault="00AE07BB" w:rsidP="009529B7">
      <w:pPr>
        <w:autoSpaceDE w:val="0"/>
        <w:autoSpaceDN w:val="0"/>
        <w:adjustRightInd w:val="0"/>
        <w:spacing w:after="240" w:line="360" w:lineRule="auto"/>
        <w:ind w:left="2268"/>
        <w:jc w:val="both"/>
        <w:rPr>
          <w:rFonts w:ascii="Arial" w:hAnsi="Arial" w:cs="Arial"/>
          <w:sz w:val="20"/>
          <w:szCs w:val="20"/>
        </w:rPr>
      </w:pPr>
      <w:r w:rsidRPr="009529B7">
        <w:rPr>
          <w:rFonts w:ascii="Arial" w:hAnsi="Arial" w:cs="Arial"/>
          <w:sz w:val="20"/>
          <w:szCs w:val="20"/>
        </w:rPr>
        <w:t>Além da ênfase na consensualidade e na participação ampliada, o processo estrutural deve observar a capacidade de atuação de cada instituição e os limites financeiros das partes. O objetivo é que a solução construída durante o processo contemple a todos os envolvidos. </w:t>
      </w:r>
    </w:p>
    <w:p w14:paraId="28F676CD" w14:textId="576706E7" w:rsidR="00AE07BB" w:rsidRPr="009529B7" w:rsidRDefault="00AE07BB" w:rsidP="009529B7">
      <w:pPr>
        <w:autoSpaceDE w:val="0"/>
        <w:autoSpaceDN w:val="0"/>
        <w:adjustRightInd w:val="0"/>
        <w:spacing w:after="240" w:line="360" w:lineRule="auto"/>
        <w:jc w:val="both"/>
        <w:rPr>
          <w:rFonts w:ascii="Arial" w:hAnsi="Arial" w:cs="Arial"/>
          <w:iCs/>
        </w:rPr>
      </w:pPr>
      <w:r w:rsidRPr="009529B7">
        <w:rPr>
          <w:rFonts w:ascii="Arial" w:hAnsi="Arial" w:cs="Arial"/>
          <w:iCs/>
        </w:rPr>
        <w:t>De acordo com doutrina de referência sobre o assunto, permite-se traçar o seguinte quadro-resumo do processo estrutural:</w:t>
      </w:r>
    </w:p>
    <w:p w14:paraId="12386A65"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Essencialmente, o percurso do processo estrutural tem como fases de desenvolvimento:</w:t>
      </w:r>
    </w:p>
    <w:p w14:paraId="195668F4"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1) a apreensão das características do litígio, em toda a sua complexidade e conflituosidade, permitindo que os diferentes grupos de interesses sejam ouvidos, em respeito ao caráter policêntrico do litígio;</w:t>
      </w:r>
    </w:p>
    <w:p w14:paraId="23051E53"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2) a elaboração de um plano de alteração do funcionamento da estrutura, em um documento ou a partir de diversos acordos ou ordens judiciais, cujo objetivo é fazer com que ela deixe de se comportar da maneira reputada indesejável;</w:t>
      </w:r>
    </w:p>
    <w:p w14:paraId="16692D26"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3) a implementação desse plano, de modo compulsório ou negociado;</w:t>
      </w:r>
    </w:p>
    <w:p w14:paraId="5BF5B9DC"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4) a avaliação dos resultados da implementação, de forma a garantir o resultado social pretendido no início do processo, que é a correção da violação e a obtenção de condições que impeçam sua reiteração futura;</w:t>
      </w:r>
    </w:p>
    <w:p w14:paraId="7CE80974"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lastRenderedPageBreak/>
        <w:t>5) a reelaboração do plano, a partir dos resultados avaliados, no intuito de abordar aspectos inicialmente não percebidos, ou minorar efeitos colaterais previstos; e</w:t>
      </w:r>
    </w:p>
    <w:p w14:paraId="6CBFB3DB" w14:textId="77777777" w:rsidR="00AE07BB" w:rsidRPr="009529B7" w:rsidRDefault="00AE07BB" w:rsidP="009529B7">
      <w:pPr>
        <w:autoSpaceDE w:val="0"/>
        <w:autoSpaceDN w:val="0"/>
        <w:adjustRightInd w:val="0"/>
        <w:spacing w:after="240" w:line="360" w:lineRule="auto"/>
        <w:ind w:left="2268"/>
        <w:jc w:val="both"/>
        <w:rPr>
          <w:rFonts w:ascii="Arial" w:hAnsi="Arial" w:cs="Arial"/>
          <w:iCs/>
          <w:sz w:val="20"/>
          <w:szCs w:val="20"/>
        </w:rPr>
      </w:pPr>
      <w:r w:rsidRPr="009529B7">
        <w:rPr>
          <w:rFonts w:ascii="Arial" w:hAnsi="Arial" w:cs="Arial"/>
          <w:iCs/>
          <w:sz w:val="20"/>
          <w:szCs w:val="20"/>
        </w:rPr>
        <w:t>6) a implementação do plano revisto, que reinicia o ciclo, o qual se perpetua até que o litígio seja solucionado, com a obtenção do resultado social que se afigura apropriado, dadas as circunstâncias do conflito, a partir da reorganização da estrutura.</w:t>
      </w:r>
    </w:p>
    <w:p w14:paraId="1163B732" w14:textId="0F16E9D8" w:rsidR="00AE07BB" w:rsidRPr="009529B7" w:rsidRDefault="00AE07BB" w:rsidP="009529B7">
      <w:pPr>
        <w:autoSpaceDE w:val="0"/>
        <w:autoSpaceDN w:val="0"/>
        <w:adjustRightInd w:val="0"/>
        <w:spacing w:after="240" w:line="360" w:lineRule="auto"/>
        <w:jc w:val="both"/>
        <w:rPr>
          <w:rFonts w:ascii="Arial" w:hAnsi="Arial" w:cs="Arial"/>
          <w:iCs/>
        </w:rPr>
      </w:pPr>
      <w:r w:rsidRPr="009529B7">
        <w:rPr>
          <w:rFonts w:ascii="Arial" w:hAnsi="Arial" w:cs="Arial"/>
        </w:rPr>
        <w:t xml:space="preserve">Assim, se durante a fase de instrução, ou outra etapa processual, for verificada a existência de novos fatos envolvendo as políticas públicas </w:t>
      </w:r>
      <w:r w:rsidR="00694EE5">
        <w:rPr>
          <w:rFonts w:ascii="Arial" w:hAnsi="Arial" w:cs="Arial"/>
        </w:rPr>
        <w:t xml:space="preserve">abordadas </w:t>
      </w:r>
      <w:r w:rsidRPr="009529B7">
        <w:rPr>
          <w:rFonts w:ascii="Arial" w:hAnsi="Arial" w:cs="Arial"/>
        </w:rPr>
        <w:t>em que se faça necessário o controle jurisdicional, como, por exemplo, determinado programa que passou a apresentar descontinuidade ou falhas graves, ou diante de nova situação de violação aguda a direitos fundamentais, deverá ser admitida a atenuação d</w:t>
      </w:r>
      <w:r w:rsidRPr="009529B7">
        <w:rPr>
          <w:rFonts w:ascii="Arial" w:hAnsi="Arial" w:cs="Arial"/>
          <w:iCs/>
        </w:rPr>
        <w:t>as regras de congruência objetiva e da estabilização objetiva da demanda, para que se autorize a modificação da causa de pedir e dos pedidos.</w:t>
      </w:r>
    </w:p>
    <w:p w14:paraId="3977BC86" w14:textId="77777777" w:rsidR="00AE07BB" w:rsidRPr="009529B7" w:rsidRDefault="00AE07BB" w:rsidP="009529B7">
      <w:pPr>
        <w:autoSpaceDE w:val="0"/>
        <w:autoSpaceDN w:val="0"/>
        <w:adjustRightInd w:val="0"/>
        <w:spacing w:after="240" w:line="360" w:lineRule="auto"/>
        <w:jc w:val="both"/>
        <w:rPr>
          <w:rFonts w:ascii="Arial" w:hAnsi="Arial" w:cs="Arial"/>
          <w:iCs/>
        </w:rPr>
      </w:pPr>
      <w:r w:rsidRPr="009529B7">
        <w:rPr>
          <w:rFonts w:ascii="Arial" w:hAnsi="Arial" w:cs="Arial"/>
          <w:iCs/>
        </w:rPr>
        <w:t>Ademais, é necessário que se possibilite a formulação de pedido genérico pela parte autora, de modo que as formas de implementação de uma eventual decisão estruturante possam ser traçadas doravante</w:t>
      </w:r>
      <w:r w:rsidRPr="009529B7">
        <w:rPr>
          <w:rFonts w:ascii="Arial" w:hAnsi="Arial" w:cs="Arial"/>
        </w:rPr>
        <w:t>, e sujeitas a monitoramento e avaliação</w:t>
      </w:r>
      <w:r w:rsidRPr="009529B7">
        <w:rPr>
          <w:rFonts w:ascii="Arial" w:hAnsi="Arial" w:cs="Arial"/>
          <w:iCs/>
        </w:rPr>
        <w:t>.</w:t>
      </w:r>
    </w:p>
    <w:p w14:paraId="418845D5" w14:textId="77777777" w:rsidR="00AE07BB" w:rsidRPr="009529B7" w:rsidRDefault="00AE07BB" w:rsidP="009529B7">
      <w:pPr>
        <w:autoSpaceDE w:val="0"/>
        <w:autoSpaceDN w:val="0"/>
        <w:adjustRightInd w:val="0"/>
        <w:spacing w:after="240" w:line="360" w:lineRule="auto"/>
        <w:jc w:val="both"/>
        <w:rPr>
          <w:rFonts w:ascii="Arial" w:hAnsi="Arial" w:cs="Arial"/>
        </w:rPr>
      </w:pPr>
      <w:r w:rsidRPr="009529B7">
        <w:rPr>
          <w:rFonts w:ascii="Arial" w:hAnsi="Arial" w:cs="Arial"/>
          <w:iCs/>
        </w:rPr>
        <w:t>Por fim, sendo admitida a tramitação da presente ação civil pública como processo estrutural, cumprirá ao Juízo, com a participação das partes e, preferencialmente, com o consenso entre elas, verificar a pertinência da aplicação de técnicas processuais</w:t>
      </w:r>
      <w:r w:rsidRPr="009529B7">
        <w:rPr>
          <w:rFonts w:ascii="Arial" w:hAnsi="Arial" w:cs="Arial"/>
        </w:rPr>
        <w:t xml:space="preserve"> diferenciadas, tais como a adoção de plano de atuação estrutural; </w:t>
      </w:r>
      <w:r w:rsidRPr="009529B7">
        <w:rPr>
          <w:rFonts w:ascii="Arial" w:hAnsi="Arial" w:cs="Arial"/>
          <w:iCs/>
        </w:rPr>
        <w:t>admissão de pessoas ou entidades representativas dos grupos impactados pelo litígio, de forma a democratizar o debate; realização de reuniões ou consultas técnicas ou comunitárias</w:t>
      </w:r>
      <w:r w:rsidRPr="009529B7">
        <w:rPr>
          <w:rFonts w:ascii="Arial" w:hAnsi="Arial" w:cs="Arial"/>
          <w:color w:val="000009"/>
          <w:sz w:val="28"/>
          <w:szCs w:val="28"/>
        </w:rPr>
        <w:t xml:space="preserve"> </w:t>
      </w:r>
      <w:r w:rsidRPr="009529B7">
        <w:rPr>
          <w:rFonts w:ascii="Arial" w:hAnsi="Arial" w:cs="Arial"/>
          <w:iCs/>
        </w:rPr>
        <w:t>realização de audiências públicas, com definição de metodologia adequada às características do litígio;</w:t>
      </w:r>
      <w:r w:rsidRPr="009529B7">
        <w:rPr>
          <w:rFonts w:ascii="Arial" w:hAnsi="Arial" w:cs="Arial"/>
        </w:rPr>
        <w:t xml:space="preserve"> </w:t>
      </w:r>
      <w:r w:rsidRPr="009529B7">
        <w:rPr>
          <w:rFonts w:ascii="Arial" w:hAnsi="Arial" w:cs="Arial"/>
          <w:iCs/>
        </w:rPr>
        <w:t>designação de audiência de saneamento e organização compartilhada do processo;</w:t>
      </w:r>
      <w:r w:rsidRPr="009529B7">
        <w:rPr>
          <w:rFonts w:ascii="Arial" w:hAnsi="Arial" w:cs="Arial"/>
          <w:color w:val="000009"/>
          <w:sz w:val="28"/>
          <w:szCs w:val="28"/>
        </w:rPr>
        <w:t xml:space="preserve"> </w:t>
      </w:r>
      <w:r w:rsidRPr="009529B7">
        <w:rPr>
          <w:rFonts w:ascii="Arial" w:hAnsi="Arial" w:cs="Arial"/>
          <w:iCs/>
        </w:rPr>
        <w:t>definição de mecanismos e formas de ampliação de publicidade e transparência; dentre outras.</w:t>
      </w:r>
    </w:p>
    <w:p w14:paraId="24BD1DD2" w14:textId="77777777" w:rsidR="00AE07BB" w:rsidRPr="00DB570B" w:rsidRDefault="00AE07BB" w:rsidP="009529B7">
      <w:pPr>
        <w:pBdr>
          <w:top w:val="nil"/>
          <w:left w:val="nil"/>
          <w:bottom w:val="nil"/>
          <w:right w:val="nil"/>
          <w:between w:val="nil"/>
        </w:pBdr>
        <w:spacing w:after="240" w:line="360" w:lineRule="auto"/>
        <w:jc w:val="both"/>
        <w:rPr>
          <w:rFonts w:ascii="Arial" w:hAnsi="Arial" w:cs="Arial"/>
        </w:rPr>
      </w:pPr>
    </w:p>
    <w:p w14:paraId="048304EA" w14:textId="57B92210" w:rsidR="00DB570B" w:rsidRPr="00DB570B" w:rsidRDefault="00DB570B" w:rsidP="009529B7">
      <w:pPr>
        <w:pBdr>
          <w:top w:val="nil"/>
          <w:left w:val="nil"/>
          <w:bottom w:val="nil"/>
          <w:right w:val="nil"/>
          <w:between w:val="nil"/>
        </w:pBdr>
        <w:spacing w:after="240" w:line="360" w:lineRule="auto"/>
        <w:jc w:val="both"/>
        <w:rPr>
          <w:rFonts w:ascii="Arial" w:hAnsi="Arial" w:cs="Arial"/>
          <w:b/>
          <w:bCs/>
        </w:rPr>
      </w:pPr>
      <w:r w:rsidRPr="00DB570B">
        <w:rPr>
          <w:rFonts w:ascii="Arial" w:hAnsi="Arial" w:cs="Arial"/>
          <w:b/>
          <w:bCs/>
        </w:rPr>
        <w:t>V. TUTELA PROVISÓRIA DE URGÊNCIA</w:t>
      </w:r>
    </w:p>
    <w:p w14:paraId="572D452C" w14:textId="77777777" w:rsidR="002C010B" w:rsidRPr="00082965" w:rsidRDefault="002C010B" w:rsidP="009529B7">
      <w:pPr>
        <w:pBdr>
          <w:top w:val="nil"/>
          <w:left w:val="nil"/>
          <w:bottom w:val="nil"/>
          <w:right w:val="nil"/>
          <w:between w:val="nil"/>
        </w:pBdr>
        <w:spacing w:after="240" w:line="360" w:lineRule="auto"/>
        <w:jc w:val="both"/>
        <w:rPr>
          <w:rFonts w:ascii="Arial" w:eastAsia="Calibri" w:hAnsi="Arial" w:cs="Arial"/>
          <w:color w:val="000000"/>
        </w:rPr>
      </w:pPr>
      <w:r w:rsidRPr="00082965">
        <w:rPr>
          <w:rFonts w:ascii="Arial" w:eastAsia="Calibri" w:hAnsi="Arial" w:cs="Arial"/>
          <w:color w:val="000000"/>
        </w:rPr>
        <w:lastRenderedPageBreak/>
        <w:t>O art. 12 da Lei n.º 7.374, que regulamenta a Ação Civil Pública, dispõe que o magistrado poderá conceder liminarmente a tutela pretendida, com ou sem justificação prévia da parte contrária. Cabe trazer a literalidade da norma:</w:t>
      </w:r>
    </w:p>
    <w:p w14:paraId="7EC38ECF" w14:textId="77777777" w:rsidR="002C010B" w:rsidRPr="00082965" w:rsidRDefault="002C010B" w:rsidP="009529B7">
      <w:pPr>
        <w:pBdr>
          <w:top w:val="nil"/>
          <w:left w:val="nil"/>
          <w:bottom w:val="nil"/>
          <w:right w:val="nil"/>
          <w:between w:val="nil"/>
        </w:pBdr>
        <w:spacing w:after="240" w:line="360" w:lineRule="auto"/>
        <w:ind w:left="2268"/>
        <w:jc w:val="both"/>
        <w:rPr>
          <w:rFonts w:ascii="Arial" w:eastAsia="Calibri" w:hAnsi="Arial" w:cs="Arial"/>
          <w:color w:val="000000"/>
          <w:sz w:val="20"/>
          <w:szCs w:val="20"/>
        </w:rPr>
      </w:pPr>
      <w:r w:rsidRPr="00082965">
        <w:rPr>
          <w:rFonts w:ascii="Arial" w:eastAsia="Calibri" w:hAnsi="Arial" w:cs="Arial"/>
          <w:color w:val="000000"/>
          <w:sz w:val="20"/>
          <w:szCs w:val="20"/>
        </w:rPr>
        <w:t xml:space="preserve">Art. 12. Poderá o juiz conceder mandado liminar, com ou sem justificação prévia, em decisão sujeita a agravo. </w:t>
      </w:r>
    </w:p>
    <w:p w14:paraId="2F4A95A2" w14:textId="77777777" w:rsidR="002C010B" w:rsidRPr="00082965" w:rsidRDefault="002C010B" w:rsidP="009529B7">
      <w:pPr>
        <w:pBdr>
          <w:top w:val="nil"/>
          <w:left w:val="nil"/>
          <w:bottom w:val="nil"/>
          <w:right w:val="nil"/>
          <w:between w:val="nil"/>
        </w:pBdr>
        <w:spacing w:after="240" w:line="360" w:lineRule="auto"/>
        <w:ind w:left="2268"/>
        <w:jc w:val="both"/>
        <w:rPr>
          <w:rFonts w:ascii="Arial" w:eastAsia="Calibri" w:hAnsi="Arial" w:cs="Arial"/>
          <w:color w:val="000000"/>
          <w:sz w:val="20"/>
          <w:szCs w:val="20"/>
        </w:rPr>
      </w:pPr>
      <w:r w:rsidRPr="00082965">
        <w:rPr>
          <w:rFonts w:ascii="Arial" w:eastAsia="Calibri" w:hAnsi="Arial" w:cs="Arial"/>
          <w:color w:val="000000"/>
          <w:sz w:val="20"/>
          <w:szCs w:val="20"/>
        </w:rPr>
        <w:t xml:space="preserve">§ 1º A requerimento de pessoa jurídica de direito público interessada, e para evitar grave lesão à ordem, à saúde, à segurança e à economia pública, poderá o Presidente do Tribunal a que competir o conhecimento do respectivo recurso suspender a execução da liminar, em decisão fundamentada, da qual caberá agravo para uma das turmas julgadoras, no prazo de 5 (cinco) dias a partir da publicação do ato. </w:t>
      </w:r>
    </w:p>
    <w:p w14:paraId="5B5B3A32" w14:textId="77777777" w:rsidR="002C010B" w:rsidRPr="00082965" w:rsidRDefault="002C010B" w:rsidP="009529B7">
      <w:pPr>
        <w:pBdr>
          <w:top w:val="nil"/>
          <w:left w:val="nil"/>
          <w:bottom w:val="nil"/>
          <w:right w:val="nil"/>
          <w:between w:val="nil"/>
        </w:pBdr>
        <w:spacing w:after="240" w:line="360" w:lineRule="auto"/>
        <w:ind w:left="2268"/>
        <w:jc w:val="both"/>
        <w:rPr>
          <w:rFonts w:ascii="Arial" w:eastAsia="Calibri" w:hAnsi="Arial" w:cs="Arial"/>
          <w:color w:val="000000"/>
          <w:sz w:val="20"/>
          <w:szCs w:val="20"/>
        </w:rPr>
      </w:pPr>
      <w:r w:rsidRPr="00082965">
        <w:rPr>
          <w:rFonts w:ascii="Arial" w:eastAsia="Calibri" w:hAnsi="Arial" w:cs="Arial"/>
          <w:color w:val="000000"/>
          <w:sz w:val="20"/>
          <w:szCs w:val="20"/>
        </w:rPr>
        <w:t>§ 2º A multa cominada liminarmente só será exigível do réu após o trânsito em julgado da decisão favorável ao autor, mas será devida desde o dia em que se houver configurado o descumprimento.</w:t>
      </w:r>
    </w:p>
    <w:p w14:paraId="55D481E7" w14:textId="77777777" w:rsidR="002C010B" w:rsidRPr="009529B7" w:rsidRDefault="002C010B" w:rsidP="009529B7">
      <w:pPr>
        <w:pBdr>
          <w:top w:val="nil"/>
          <w:left w:val="nil"/>
          <w:bottom w:val="nil"/>
          <w:right w:val="nil"/>
          <w:between w:val="nil"/>
        </w:pBdr>
        <w:spacing w:after="240" w:line="360" w:lineRule="auto"/>
        <w:jc w:val="both"/>
        <w:rPr>
          <w:rFonts w:ascii="Arial" w:eastAsia="Calibri" w:hAnsi="Arial" w:cs="Arial"/>
        </w:rPr>
      </w:pPr>
      <w:r w:rsidRPr="009529B7">
        <w:rPr>
          <w:rFonts w:ascii="Arial" w:eastAsia="Calibri" w:hAnsi="Arial" w:cs="Arial"/>
        </w:rPr>
        <w:t>Para tanto, exige-se o preenchimento dos requisitos previstos no art. 300 do Código de Processo Civil, que demanda, para o deferimento da antecipação dos efeitos do provimento final, a constatação de elementos que evidenciem a probabilidade do direito, bem como o perigo de dano. Vale transcrevê-lo:</w:t>
      </w:r>
    </w:p>
    <w:p w14:paraId="548870C7" w14:textId="77777777" w:rsidR="002C010B" w:rsidRPr="00082965" w:rsidRDefault="002C010B" w:rsidP="009529B7">
      <w:pPr>
        <w:pBdr>
          <w:top w:val="nil"/>
          <w:left w:val="nil"/>
          <w:bottom w:val="nil"/>
          <w:right w:val="nil"/>
          <w:between w:val="nil"/>
        </w:pBdr>
        <w:spacing w:after="240" w:line="360" w:lineRule="auto"/>
        <w:ind w:left="2268"/>
        <w:jc w:val="both"/>
        <w:rPr>
          <w:rFonts w:ascii="Arial" w:eastAsia="Calibri" w:hAnsi="Arial" w:cs="Arial"/>
          <w:sz w:val="20"/>
          <w:szCs w:val="20"/>
        </w:rPr>
      </w:pPr>
      <w:r w:rsidRPr="00082965">
        <w:rPr>
          <w:rFonts w:ascii="Arial" w:eastAsia="Calibri" w:hAnsi="Arial" w:cs="Arial"/>
          <w:sz w:val="22"/>
          <w:szCs w:val="22"/>
        </w:rPr>
        <w:t xml:space="preserve"> </w:t>
      </w:r>
      <w:r w:rsidRPr="00082965">
        <w:rPr>
          <w:rFonts w:ascii="Arial" w:eastAsia="Calibri" w:hAnsi="Arial" w:cs="Arial"/>
          <w:sz w:val="20"/>
          <w:szCs w:val="20"/>
        </w:rPr>
        <w:t>Art. 300. A tutela de urgência será concedida quando houver elementos que evidenciem a probabilidade do direito e o perigo de dano ou o risco ao resultado útil do processo. [...]</w:t>
      </w:r>
    </w:p>
    <w:p w14:paraId="115B77C9" w14:textId="77777777" w:rsidR="002C010B" w:rsidRPr="00082965" w:rsidRDefault="002C010B" w:rsidP="009529B7">
      <w:pPr>
        <w:pBdr>
          <w:top w:val="nil"/>
          <w:left w:val="nil"/>
          <w:bottom w:val="nil"/>
          <w:right w:val="nil"/>
          <w:between w:val="nil"/>
        </w:pBdr>
        <w:spacing w:after="240" w:line="360" w:lineRule="auto"/>
        <w:ind w:left="2268"/>
        <w:jc w:val="both"/>
        <w:rPr>
          <w:rFonts w:ascii="Arial" w:eastAsia="Calibri" w:hAnsi="Arial" w:cs="Arial"/>
          <w:sz w:val="20"/>
          <w:szCs w:val="20"/>
        </w:rPr>
      </w:pPr>
      <w:r w:rsidRPr="00082965">
        <w:rPr>
          <w:rFonts w:ascii="Arial" w:eastAsia="Calibri" w:hAnsi="Arial" w:cs="Arial"/>
          <w:sz w:val="20"/>
          <w:szCs w:val="20"/>
        </w:rPr>
        <w:t xml:space="preserve">§ 2º A tutela de urgência pode ser concedida liminarmente ou após justificação prévia. </w:t>
      </w:r>
    </w:p>
    <w:p w14:paraId="7D0F064C" w14:textId="77777777" w:rsidR="002C010B" w:rsidRPr="00082965" w:rsidRDefault="002C010B" w:rsidP="009529B7">
      <w:pPr>
        <w:autoSpaceDE w:val="0"/>
        <w:autoSpaceDN w:val="0"/>
        <w:adjustRightInd w:val="0"/>
        <w:spacing w:after="240" w:line="360" w:lineRule="auto"/>
        <w:jc w:val="both"/>
        <w:rPr>
          <w:rFonts w:ascii="Arial" w:eastAsia="Calibri" w:hAnsi="Arial" w:cs="Arial"/>
          <w:color w:val="000000"/>
        </w:rPr>
      </w:pPr>
      <w:r w:rsidRPr="00082965">
        <w:rPr>
          <w:rFonts w:ascii="Arial" w:eastAsia="Calibri" w:hAnsi="Arial" w:cs="Arial"/>
        </w:rPr>
        <w:t xml:space="preserve">Especificamente quanto à ação civil pública ajuizada em face de ente público, </w:t>
      </w:r>
      <w:r w:rsidRPr="00082965">
        <w:rPr>
          <w:rFonts w:ascii="Arial" w:eastAsia="Calibri" w:hAnsi="Arial" w:cs="Arial"/>
          <w:color w:val="000000"/>
        </w:rPr>
        <w:t xml:space="preserve">o art. 2º da Lei n.º 8.437/1992 estabelece que o deferimento da tutela provisória de urgência somente poderá ocorrer mediante </w:t>
      </w:r>
      <w:r w:rsidRPr="00C23B9E">
        <w:rPr>
          <w:rFonts w:ascii="Arial" w:eastAsia="Calibri" w:hAnsi="Arial" w:cs="Arial"/>
          <w:color w:val="000000"/>
        </w:rPr>
        <w:t>prévia oitiva do representante da entidade ré,</w:t>
      </w:r>
      <w:r w:rsidRPr="00082965">
        <w:rPr>
          <w:rFonts w:ascii="Arial" w:eastAsia="Calibri" w:hAnsi="Arial" w:cs="Arial"/>
          <w:color w:val="000000"/>
        </w:rPr>
        <w:t xml:space="preserve"> no prazo de 72 (setenta e duas) horas:</w:t>
      </w:r>
    </w:p>
    <w:p w14:paraId="44719F39" w14:textId="77777777" w:rsidR="002C010B" w:rsidRPr="00082965" w:rsidRDefault="002C010B" w:rsidP="009529B7">
      <w:pPr>
        <w:autoSpaceDE w:val="0"/>
        <w:autoSpaceDN w:val="0"/>
        <w:adjustRightInd w:val="0"/>
        <w:spacing w:after="240" w:line="360" w:lineRule="auto"/>
        <w:ind w:left="2268"/>
        <w:jc w:val="both"/>
        <w:rPr>
          <w:rFonts w:ascii="Arial" w:eastAsia="Calibri" w:hAnsi="Arial" w:cs="Arial"/>
          <w:sz w:val="20"/>
          <w:szCs w:val="20"/>
        </w:rPr>
      </w:pPr>
      <w:r w:rsidRPr="00082965">
        <w:rPr>
          <w:rFonts w:ascii="Arial" w:eastAsia="Calibri" w:hAnsi="Arial" w:cs="Arial"/>
          <w:sz w:val="20"/>
          <w:szCs w:val="20"/>
        </w:rPr>
        <w:t xml:space="preserve">Art. 2º No mandado de segurança coletivo e na ação civil pública, a liminar será concedida, quando cabível, após a audiência do representante judicial da pessoa jurídica de direito público, que deverá se pronunciar no prazo de setenta e duas horas </w:t>
      </w:r>
    </w:p>
    <w:p w14:paraId="61335E08" w14:textId="79C7F6B1"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lastRenderedPageBreak/>
        <w:t xml:space="preserve">A probabilidade do direito é demonstrada pela documentação instrutória da exordial. No Procedimento Administrativo de Tutela Coletiva - PTAC n.º [Número]/[Ano], instaurado pela Defensoria Pública do Estado de Minas Gerais, foram executadas e registradas diligências, reuniões, vistorias e requisições, com participação de entidades da sociedade civil organizada e de usuários da rede de saúde mental, tendo sido demonstrada a violação sistemática de direitos desse grupo social, por ausência ou falha grave de políticas e equipamentos municipais de assistência. </w:t>
      </w:r>
    </w:p>
    <w:p w14:paraId="0AAB4123"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Ademais, essas apurações, acrescidas das informações prestadas pelo Município em resposta às requisições e recomendações da Defensoria Pública, revelaram extensa e evidente discrepância entre as determinações contidas na Lei n.º 10.216/01, no Anexo V da Portaria de Consolidação GM/MS n.º 3/2017 e na jurisprudência da Corte Interamericana de Direitos Humanos (Caso Ximenes Lopes), e as ações do Município de [Nome do Município] voltadas para garantir os direitos das pessoas com sofrimento psíquico grave e/ou necessidades decorrentes do uso de substâncias.</w:t>
      </w:r>
    </w:p>
    <w:p w14:paraId="66EE823A" w14:textId="074FE076"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Mesmo provocado (Ofício n.º [...]/DPMG, de [Data]; Ofício n.º [...]/DPMG, de [Data]; Ofício n.º [...]/DPMG, de [Data]; Recomendação n.º [...]/DPMG, de [Data]; Ofício n.º [...]/DPMG, de [Data]), o Município não reconheceu a necessidade de implementação das medidas recomendadas pela Defensoria Pública (que exauriu as tentativas de solução consensual e extrajudicial do conflito), persistindo, assim, na afronta às determinações legais que instituem a Rede de Atenção Psicossocial (RAPS).</w:t>
      </w:r>
    </w:p>
    <w:p w14:paraId="14CC62E0"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Noutro giro, o perigo de dano é também patente e está fartamente provado, haja vista que a perpetuação dessa situação de fato gera lesão grave e persistente aos interesses das pessoas com sofrimento mental no Município de [Nome do Município], sobretudo por se tratar de grupo social submetido a vulnerabilidades extremas.</w:t>
      </w:r>
    </w:p>
    <w:p w14:paraId="0E18E7E2" w14:textId="3556BBAF" w:rsidR="002C010B" w:rsidRPr="002C010B" w:rsidRDefault="009529B7" w:rsidP="009529B7">
      <w:pPr>
        <w:pBdr>
          <w:top w:val="nil"/>
          <w:left w:val="nil"/>
          <w:bottom w:val="nil"/>
          <w:right w:val="nil"/>
          <w:between w:val="nil"/>
        </w:pBdr>
        <w:spacing w:after="240" w:line="360" w:lineRule="auto"/>
        <w:jc w:val="both"/>
        <w:rPr>
          <w:rFonts w:ascii="Arial" w:hAnsi="Arial" w:cs="Arial"/>
        </w:rPr>
      </w:pPr>
      <w:r>
        <w:rPr>
          <w:rFonts w:ascii="Arial" w:hAnsi="Arial" w:cs="Arial"/>
        </w:rPr>
        <w:t>Conforme já afirmado, e d</w:t>
      </w:r>
      <w:r w:rsidR="002C010B" w:rsidRPr="002C010B">
        <w:rPr>
          <w:rFonts w:ascii="Arial" w:hAnsi="Arial" w:cs="Arial"/>
        </w:rPr>
        <w:t>e acordo com a Comissão de Juristas Responsável pela Elaboração de Anteprojeto de Lei do Processo Estrutural no Brasil (CJPRESTR), o plano de atuação estrutural é a ferramenta usada para que se alcance o resultado final do processo.</w:t>
      </w:r>
    </w:p>
    <w:p w14:paraId="6C847502"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 xml:space="preserve">Ele deve conter as seguintes informações: diagnóstico do litígio; metas específicas e aferíveis, descritas de forma clara; indicadores quantitativos e qualitativos de alcance das metas; cronograma de implementação das medidas; prazos, parâmetros ou </w:t>
      </w:r>
      <w:r w:rsidRPr="002C010B">
        <w:rPr>
          <w:rFonts w:ascii="Arial" w:hAnsi="Arial" w:cs="Arial"/>
        </w:rPr>
        <w:lastRenderedPageBreak/>
        <w:t xml:space="preserve">indicadores para determinar o encerramento do processo; definição dos responsáveis pela implementação das medidas; metodologia e periodicidade de supervisão da implementação e de revisão das medidas; e indicação do envolvimento ou não de recursos do orçamento público e do modo como serão alocados. </w:t>
      </w:r>
    </w:p>
    <w:p w14:paraId="3089B880"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 xml:space="preserve">Segundo o relator da Comissão, as metas e indicadores podem ser alterados pelas partes ou por decisão judicial, a depender das circunstâncias do caso concreto, tendo em vista a flexibilidade do procedimento: </w:t>
      </w:r>
    </w:p>
    <w:p w14:paraId="46FA85E2" w14:textId="0567D02A" w:rsidR="002C010B" w:rsidRPr="002C010B" w:rsidRDefault="002C010B" w:rsidP="009529B7">
      <w:pPr>
        <w:pBdr>
          <w:top w:val="nil"/>
          <w:left w:val="nil"/>
          <w:bottom w:val="nil"/>
          <w:right w:val="nil"/>
          <w:between w:val="nil"/>
        </w:pBdr>
        <w:spacing w:after="240" w:line="360" w:lineRule="auto"/>
        <w:ind w:left="2268"/>
        <w:jc w:val="both"/>
        <w:rPr>
          <w:rFonts w:ascii="Arial" w:hAnsi="Arial" w:cs="Arial"/>
          <w:sz w:val="20"/>
          <w:szCs w:val="20"/>
        </w:rPr>
      </w:pPr>
      <w:r w:rsidRPr="002C010B">
        <w:rPr>
          <w:rFonts w:ascii="Arial" w:hAnsi="Arial" w:cs="Arial"/>
          <w:sz w:val="20"/>
          <w:szCs w:val="20"/>
        </w:rPr>
        <w:t>As metas e os indicadores da atuação estrutural podem ser alterados pelas partes, de comum acordo, ou por decisão judicial, com base em fatos posteriores, em alterações da realidade do conflito ou em novas informações ou diagnósticos que se tornem conhecidos no curso do processo.</w:t>
      </w:r>
      <w:r w:rsidR="009529B7">
        <w:rPr>
          <w:rFonts w:ascii="Arial" w:hAnsi="Arial" w:cs="Arial"/>
          <w:sz w:val="20"/>
          <w:szCs w:val="20"/>
        </w:rPr>
        <w:t xml:space="preserve"> </w:t>
      </w:r>
      <w:r w:rsidRPr="002C010B">
        <w:rPr>
          <w:rFonts w:ascii="Arial" w:hAnsi="Arial" w:cs="Arial"/>
          <w:sz w:val="20"/>
          <w:szCs w:val="20"/>
        </w:rPr>
        <w:t>[...]</w:t>
      </w:r>
    </w:p>
    <w:p w14:paraId="13EF0127" w14:textId="77777777" w:rsidR="002C010B" w:rsidRPr="002C010B" w:rsidRDefault="002C010B" w:rsidP="009529B7">
      <w:pPr>
        <w:pBdr>
          <w:top w:val="nil"/>
          <w:left w:val="nil"/>
          <w:bottom w:val="nil"/>
          <w:right w:val="nil"/>
          <w:between w:val="nil"/>
        </w:pBdr>
        <w:spacing w:after="240" w:line="360" w:lineRule="auto"/>
        <w:ind w:left="2268"/>
        <w:jc w:val="both"/>
        <w:rPr>
          <w:rFonts w:ascii="Arial" w:hAnsi="Arial" w:cs="Arial"/>
          <w:sz w:val="20"/>
          <w:szCs w:val="20"/>
        </w:rPr>
      </w:pPr>
      <w:r w:rsidRPr="002C010B">
        <w:rPr>
          <w:rFonts w:ascii="Arial" w:hAnsi="Arial" w:cs="Arial"/>
          <w:sz w:val="20"/>
          <w:szCs w:val="20"/>
        </w:rPr>
        <w:t xml:space="preserve">As decisões judiciais e os acordos ficam passíveis de revisão ou ajustes, mediante provocação de qualquer interessado, em razão de fatos posteriores, bem como de novas avaliações acerca dos efeitos da implementação do plano, até mesmo nas fases de cumprimento ou execução. </w:t>
      </w:r>
    </w:p>
    <w:p w14:paraId="530BE4AC"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 xml:space="preserve">A lógica é que a ação estrutural não seja estanque, mas dinâmica e permeável às mudanças da realidade concreta do objeto do litígio, tipicamente complexo e passível de implementação gradual de melhorias. </w:t>
      </w:r>
    </w:p>
    <w:p w14:paraId="105C1414" w14:textId="23685BF4" w:rsidR="002C010B" w:rsidRPr="002C010B" w:rsidRDefault="009529B7" w:rsidP="009529B7">
      <w:pPr>
        <w:pBdr>
          <w:top w:val="nil"/>
          <w:left w:val="nil"/>
          <w:bottom w:val="nil"/>
          <w:right w:val="nil"/>
          <w:between w:val="nil"/>
        </w:pBdr>
        <w:spacing w:after="240" w:line="360" w:lineRule="auto"/>
        <w:jc w:val="both"/>
        <w:rPr>
          <w:rFonts w:ascii="Arial" w:hAnsi="Arial" w:cs="Arial"/>
        </w:rPr>
      </w:pPr>
      <w:r>
        <w:rPr>
          <w:rFonts w:ascii="Arial" w:hAnsi="Arial" w:cs="Arial"/>
        </w:rPr>
        <w:t>Assim,</w:t>
      </w:r>
      <w:r w:rsidR="002C010B" w:rsidRPr="002C010B">
        <w:rPr>
          <w:rFonts w:ascii="Arial" w:hAnsi="Arial" w:cs="Arial"/>
        </w:rPr>
        <w:t xml:space="preserve"> é preciso que o Ente requerido apresente um plano de ação detalhado (ou plano de atuação estrutural), no qual sejam devidamente abordados, ao menos, os eixos de trabalho detalhados na presente ação, com a inclusão de cronograma de etapas, metas e prazos, bem como indicação dos órgãos responsáveis pela implementação das medidas estipuladas, e demais parâmetros e indicadores necessários, visando atender às demandas críticas que carecem de planejamento e implementação.</w:t>
      </w:r>
    </w:p>
    <w:p w14:paraId="377B09D9" w14:textId="75A95B39"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 xml:space="preserve">Seguindo as diretrizes do processo estrutural, conforme abordado nesta exordial, e com base no princípio da cooperação processual e de ênfase na consensualidade, </w:t>
      </w:r>
      <w:r w:rsidR="00C23B9E">
        <w:rPr>
          <w:rFonts w:ascii="Arial" w:hAnsi="Arial" w:cs="Arial"/>
        </w:rPr>
        <w:t>deverá ser</w:t>
      </w:r>
      <w:r w:rsidRPr="002C010B">
        <w:rPr>
          <w:rFonts w:ascii="Arial" w:hAnsi="Arial" w:cs="Arial"/>
        </w:rPr>
        <w:t xml:space="preserve"> oferecido ao gestor público, em primeiro lugar, a oportunidade de apresentação do plano de ação referido, no prazo de 90 (noventa) dias, sujeito a homologação e a posterior monitoramento e avaliação.</w:t>
      </w:r>
    </w:p>
    <w:p w14:paraId="0635A7B9"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 xml:space="preserve">Em caso de omissão do Município requerido, ou de apresentação de plano insuficiente, inconsistente ou evidentemente inefetivo, o plano, então, deverá ser </w:t>
      </w:r>
      <w:r w:rsidRPr="002C010B">
        <w:rPr>
          <w:rFonts w:ascii="Arial" w:hAnsi="Arial" w:cs="Arial"/>
        </w:rPr>
        <w:lastRenderedPageBreak/>
        <w:t>imposto pelo Juízo, com a participação das partes na sua elaboração, além de entidades representativas da sociedade civil, e dos grupos sociais impactados, a fim de atender às metas e aos indicadores da atuação estrutural, sendo submetido de forma compulsória ao Município demandado.</w:t>
      </w:r>
    </w:p>
    <w:p w14:paraId="5370082C"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A seguir, almeja-se que seja proferida decisão estrutural, pela qual se estabeleçam meios e critérios de monitoramento, avaliação e controle das modificações pretendidas, ou seja: (i) o tempo, o modo e o grau da reestruturação a ser implementada; (</w:t>
      </w:r>
      <w:proofErr w:type="spellStart"/>
      <w:r w:rsidRPr="002C010B">
        <w:rPr>
          <w:rFonts w:ascii="Arial" w:hAnsi="Arial" w:cs="Arial"/>
        </w:rPr>
        <w:t>ii</w:t>
      </w:r>
      <w:proofErr w:type="spellEnd"/>
      <w:r w:rsidRPr="002C010B">
        <w:rPr>
          <w:rFonts w:ascii="Arial" w:hAnsi="Arial" w:cs="Arial"/>
        </w:rPr>
        <w:t>) o regime de transição, conforme art. 34 da LINDB; e (</w:t>
      </w:r>
      <w:proofErr w:type="spellStart"/>
      <w:r w:rsidRPr="002C010B">
        <w:rPr>
          <w:rFonts w:ascii="Arial" w:hAnsi="Arial" w:cs="Arial"/>
        </w:rPr>
        <w:t>iii</w:t>
      </w:r>
      <w:proofErr w:type="spellEnd"/>
      <w:r w:rsidRPr="002C010B">
        <w:rPr>
          <w:rFonts w:ascii="Arial" w:hAnsi="Arial" w:cs="Arial"/>
        </w:rPr>
        <w:t>) a forma de avaliação/fiscalização permanente das medidas estruturantes.</w:t>
      </w:r>
    </w:p>
    <w:p w14:paraId="0BF66105" w14:textId="77777777" w:rsidR="002C010B" w:rsidRPr="002C010B" w:rsidRDefault="002C010B" w:rsidP="009529B7">
      <w:pPr>
        <w:pBdr>
          <w:top w:val="nil"/>
          <w:left w:val="nil"/>
          <w:bottom w:val="nil"/>
          <w:right w:val="nil"/>
          <w:between w:val="nil"/>
        </w:pBdr>
        <w:spacing w:after="240" w:line="360" w:lineRule="auto"/>
        <w:jc w:val="both"/>
        <w:rPr>
          <w:rFonts w:ascii="Arial" w:hAnsi="Arial" w:cs="Arial"/>
        </w:rPr>
      </w:pPr>
      <w:r w:rsidRPr="002C010B">
        <w:rPr>
          <w:rFonts w:ascii="Arial" w:hAnsi="Arial" w:cs="Arial"/>
        </w:rPr>
        <w:t>Por outro lado, considerando a flexibilidade do procedimento estrutural, com a possibilidade de adoção de formas atípicas, de alteração do objeto litigioso, e de utilização de mecanismos de cooperação judiciária, observa-se que o tempo, o modo e o grau, o regime de transição, as metas e resultados esperados e a forma de avaliação e fiscalização podem eventualmente ser delineados em momento procedimental posterior.</w:t>
      </w:r>
    </w:p>
    <w:p w14:paraId="3386CA7A" w14:textId="77777777" w:rsidR="00AE07BB" w:rsidRDefault="00AE07BB" w:rsidP="009529B7">
      <w:pPr>
        <w:pBdr>
          <w:top w:val="nil"/>
          <w:left w:val="nil"/>
          <w:bottom w:val="nil"/>
          <w:right w:val="nil"/>
          <w:between w:val="nil"/>
        </w:pBdr>
        <w:spacing w:after="240" w:line="360" w:lineRule="auto"/>
        <w:jc w:val="both"/>
        <w:rPr>
          <w:rFonts w:ascii="Arial" w:hAnsi="Arial" w:cs="Arial"/>
          <w:b/>
          <w:bCs/>
        </w:rPr>
      </w:pPr>
    </w:p>
    <w:p w14:paraId="65D5E3A8" w14:textId="381543D8" w:rsidR="00557C08" w:rsidRDefault="00557C08" w:rsidP="00557C08">
      <w:pPr>
        <w:pBdr>
          <w:top w:val="nil"/>
          <w:left w:val="nil"/>
          <w:bottom w:val="nil"/>
          <w:right w:val="nil"/>
          <w:between w:val="nil"/>
        </w:pBdr>
        <w:spacing w:after="240" w:line="360" w:lineRule="auto"/>
        <w:jc w:val="both"/>
        <w:rPr>
          <w:rFonts w:ascii="Arial" w:hAnsi="Arial" w:cs="Arial"/>
          <w:b/>
          <w:bCs/>
        </w:rPr>
      </w:pPr>
      <w:r>
        <w:rPr>
          <w:rFonts w:ascii="Arial" w:hAnsi="Arial" w:cs="Arial"/>
          <w:b/>
          <w:bCs/>
        </w:rPr>
        <w:t>VI. PEDIDOS E REQUERIMENTOS</w:t>
      </w:r>
    </w:p>
    <w:p w14:paraId="1469E5FA" w14:textId="5502C1E9" w:rsidR="009529B7" w:rsidRPr="009529B7" w:rsidRDefault="009529B7" w:rsidP="00557C08">
      <w:pPr>
        <w:pBdr>
          <w:top w:val="nil"/>
          <w:left w:val="nil"/>
          <w:bottom w:val="nil"/>
          <w:right w:val="nil"/>
          <w:between w:val="nil"/>
        </w:pBdr>
        <w:spacing w:after="240" w:line="360" w:lineRule="auto"/>
        <w:jc w:val="both"/>
        <w:rPr>
          <w:rFonts w:ascii="Arial" w:hAnsi="Arial" w:cs="Arial"/>
        </w:rPr>
      </w:pPr>
      <w:r w:rsidRPr="009529B7">
        <w:rPr>
          <w:rFonts w:ascii="Arial" w:hAnsi="Arial" w:cs="Arial"/>
        </w:rPr>
        <w:t>Ante o exposto, requer:</w:t>
      </w:r>
    </w:p>
    <w:p w14:paraId="3DA85707" w14:textId="1BB62C5F"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 xml:space="preserve">a) </w:t>
      </w:r>
      <w:r w:rsidR="009529B7" w:rsidRPr="009529B7">
        <w:rPr>
          <w:rFonts w:ascii="Arial" w:hAnsi="Arial" w:cs="Arial"/>
        </w:rPr>
        <w:t>Seja admitida a tramitação da presente ação como processo estrutural, com a possibilidade de aplicação de técnicas processuais diferenciadas e flexíveis, com atenuação das regras de congruência objetiva e da estabilização objetiva da demanda, e com a garantia da participação de entidades representativas da sociedade civil e dos grupos sociais impactados;</w:t>
      </w:r>
    </w:p>
    <w:p w14:paraId="7E1F6BA6" w14:textId="59C4E0B5"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 xml:space="preserve">b) </w:t>
      </w:r>
      <w:r w:rsidR="009529B7" w:rsidRPr="009529B7">
        <w:rPr>
          <w:rFonts w:ascii="Arial" w:hAnsi="Arial" w:cs="Arial"/>
        </w:rPr>
        <w:t>O deferimento da tutela provisória de urgência, mediante prévia oitiva do ente réu, no prazo de 72 (setenta e duas) horas, de acordo com o disposto no art. 2º da Lei n.º 8.437/92, para determinar ao Município de [Nome do Município], que:</w:t>
      </w:r>
    </w:p>
    <w:p w14:paraId="25708887" w14:textId="46B1B148"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b.1</w:t>
      </w:r>
      <w:r w:rsidR="009529B7" w:rsidRPr="009529B7">
        <w:rPr>
          <w:rFonts w:ascii="Arial" w:hAnsi="Arial" w:cs="Arial"/>
        </w:rPr>
        <w:t xml:space="preserve">) Apresente plano de ação detalhado (plano estrutural), no prazo de 90 (noventa) dias, sujeito à homologação e a posterior monitoramento e avaliação, com definição de eixos de trabalho, apresentação de cronograma de etapas, metas e prazos, bem como indicação dos órgãos responsáveis pela implementação das medidas </w:t>
      </w:r>
      <w:r w:rsidR="009529B7" w:rsidRPr="009529B7">
        <w:rPr>
          <w:rFonts w:ascii="Arial" w:hAnsi="Arial" w:cs="Arial"/>
        </w:rPr>
        <w:lastRenderedPageBreak/>
        <w:t>estipuladas, e demais parâmetros e indicadores necessários, visando atender às seguintes demandas críticas (como conteúdo mínimo) que carecem de planejamento e implementação:</w:t>
      </w:r>
    </w:p>
    <w:p w14:paraId="693277B6" w14:textId="69FA7745" w:rsidR="009529B7" w:rsidRPr="009529B7" w:rsidRDefault="009529B7" w:rsidP="00557C08">
      <w:pPr>
        <w:numPr>
          <w:ilvl w:val="0"/>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Eixo acolhimento noturno e manejo de crises 24 horas:</w:t>
      </w:r>
    </w:p>
    <w:p w14:paraId="502764B2" w14:textId="7C9E8FBA"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Implantação e funcionamento efetivo de Centro de Atenção Psicossocial em modalidade 24 horas (CAPS III / CAPS AD III), apto a realizar o manejo de crises psiquiátricas graves e o acolhimento noturno no território;</w:t>
      </w:r>
    </w:p>
    <w:p w14:paraId="124EE9DE" w14:textId="12138555"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Definição clara e pactuação de protocolos transparentes de retaguarda de urgência/emergência e fluxos de acolhimento interpessoal, garantindo tratamento humanizado e vedando práticas degradantes ou contenções mecânicas não justificadas clinicamente;</w:t>
      </w:r>
    </w:p>
    <w:p w14:paraId="786E9E05" w14:textId="6867A275" w:rsidR="009529B7" w:rsidRPr="009529B7" w:rsidRDefault="009529B7" w:rsidP="00557C08">
      <w:pPr>
        <w:numPr>
          <w:ilvl w:val="0"/>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Eixo desinstitucionalização e moradia assistida:</w:t>
      </w:r>
    </w:p>
    <w:p w14:paraId="46B124BF" w14:textId="34E5248F"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Mapeamento e elaboração de cronograma para a criação e disponibilização de Serviços Residenciais Terapêuticos (</w:t>
      </w:r>
      <w:proofErr w:type="spellStart"/>
      <w:r w:rsidRPr="009529B7">
        <w:rPr>
          <w:rFonts w:ascii="Arial" w:hAnsi="Arial" w:cs="Arial"/>
        </w:rPr>
        <w:t>SRTs</w:t>
      </w:r>
      <w:proofErr w:type="spellEnd"/>
      <w:r w:rsidRPr="009529B7">
        <w:rPr>
          <w:rFonts w:ascii="Arial" w:hAnsi="Arial" w:cs="Arial"/>
        </w:rPr>
        <w:t>) em número suficiente para abrigar os munícipes com longa permanência em hospitais psiquiátricos e alta clínica já concedida;</w:t>
      </w:r>
    </w:p>
    <w:p w14:paraId="14DB81D7" w14:textId="77CD5EBC"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Garantia de suporte multiprofissional contínuo para o processo de reinserção comunitária e resgate do convívio familiar e social dos cidadãos desinstitucionalizados;</w:t>
      </w:r>
    </w:p>
    <w:p w14:paraId="4410CF66" w14:textId="21346C34"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 xml:space="preserve">Compartilhamento, com os órgãos públicos responsáveis e organizações da sociedade civil, do </w:t>
      </w:r>
      <w:proofErr w:type="gramStart"/>
      <w:r w:rsidRPr="009529B7">
        <w:rPr>
          <w:rFonts w:ascii="Arial" w:hAnsi="Arial" w:cs="Arial"/>
        </w:rPr>
        <w:t>censo</w:t>
      </w:r>
      <w:proofErr w:type="gramEnd"/>
      <w:r w:rsidRPr="009529B7">
        <w:rPr>
          <w:rFonts w:ascii="Arial" w:hAnsi="Arial" w:cs="Arial"/>
        </w:rPr>
        <w:t xml:space="preserve"> de institucionalizados, do cronograma de transição e do plano de expansão das moradias assistidas;</w:t>
      </w:r>
    </w:p>
    <w:p w14:paraId="53F16208" w14:textId="71E760A6" w:rsidR="009529B7" w:rsidRPr="009529B7" w:rsidRDefault="009529B7" w:rsidP="00557C08">
      <w:pPr>
        <w:numPr>
          <w:ilvl w:val="0"/>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Eixo acesso sem barreiras estigmatizantes e atenção integral à saúde:</w:t>
      </w:r>
    </w:p>
    <w:p w14:paraId="6E4AAEE9" w14:textId="780CCD54"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Fortalecimento das equipes e insumos para o programa Consultório na Rua e serviços de atenção primária, com garantia de cobertura territorial abrangente;</w:t>
      </w:r>
    </w:p>
    <w:p w14:paraId="422510F6" w14:textId="78BC8E87"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lastRenderedPageBreak/>
        <w:t>Eliminação de barreiras burocráticas ou condicionantes ilegais para o acesso a consultas, procedimentos pós-operatórios e tratamentos na rede municipal de saúde;</w:t>
      </w:r>
    </w:p>
    <w:p w14:paraId="230891FF" w14:textId="35F151E7"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Redefinição das diretrizes e protocolos dos serviços de saúde e assistência, incorporando efetivamente as estratégias de Redução de Danos para atendimento das pessoas em uso prejudicial de substâncias;</w:t>
      </w:r>
    </w:p>
    <w:p w14:paraId="1AD5BB4E" w14:textId="3B5266B5" w:rsidR="009529B7" w:rsidRPr="009529B7" w:rsidRDefault="009529B7" w:rsidP="00557C08">
      <w:pPr>
        <w:numPr>
          <w:ilvl w:val="0"/>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Eixo controle de legalidade das privações de liberdade:</w:t>
      </w:r>
    </w:p>
    <w:p w14:paraId="147F66BF" w14:textId="0ABE9358"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Estruturação e implementação de sistema/fluxo ágil para comunicação formal de todas as internações psiquiátricas involuntárias à Defensoria Pública, no prazo legal de 72 (setenta e duas) horas, nos termos do art. 23-A da Lei n.º 11.343/2006 e da Lei n.º 10.216/2001;</w:t>
      </w:r>
    </w:p>
    <w:p w14:paraId="769564D5" w14:textId="2C51F274" w:rsidR="009529B7" w:rsidRPr="009529B7" w:rsidRDefault="009529B7" w:rsidP="00557C08">
      <w:pPr>
        <w:numPr>
          <w:ilvl w:val="1"/>
          <w:numId w:val="19"/>
        </w:numPr>
        <w:pBdr>
          <w:top w:val="nil"/>
          <w:left w:val="nil"/>
          <w:bottom w:val="nil"/>
          <w:right w:val="nil"/>
          <w:between w:val="nil"/>
        </w:pBdr>
        <w:spacing w:after="240" w:line="360" w:lineRule="auto"/>
        <w:jc w:val="both"/>
        <w:rPr>
          <w:rFonts w:ascii="Arial" w:hAnsi="Arial" w:cs="Arial"/>
        </w:rPr>
      </w:pPr>
      <w:r w:rsidRPr="009529B7">
        <w:rPr>
          <w:rFonts w:ascii="Arial" w:hAnsi="Arial" w:cs="Arial"/>
        </w:rPr>
        <w:t>Garantia de fiscalização periódica das condições de salubridade, segurança e respeito aos direitos humanos nas instalações dos equipamentos de saúde mental e entidades parceiras no Município.</w:t>
      </w:r>
    </w:p>
    <w:p w14:paraId="5C4A291A" w14:textId="59F10A36"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b.2</w:t>
      </w:r>
      <w:r w:rsidR="009529B7" w:rsidRPr="009529B7">
        <w:rPr>
          <w:rFonts w:ascii="Arial" w:hAnsi="Arial" w:cs="Arial"/>
        </w:rPr>
        <w:t>) Em caso de omissão do Município requerido, ou de apresentação de plano insuficiente, inconsistente ou evidentemente inefetivo, seja o plano imposto pelo Juízo, com a sua elaboração mediante participação das partes, de entidades representativas da sociedade civil, e dos grupos sociais impactados, a fim de atender às metas e aos indicadores da atuação estrutural, sendo submetido de forma compulsória ao Município réu;</w:t>
      </w:r>
    </w:p>
    <w:p w14:paraId="2417AFAD" w14:textId="23E6EA5F"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b.3</w:t>
      </w:r>
      <w:r w:rsidR="009529B7" w:rsidRPr="009529B7">
        <w:rPr>
          <w:rFonts w:ascii="Arial" w:hAnsi="Arial" w:cs="Arial"/>
        </w:rPr>
        <w:t>) A seguir, a prolação de decisão estrutural, que estabeleça meios e critérios de monitoramento, avaliação e controle das modificações pretendidas, ou seja: (i) o tempo, o modo e o grau da reestruturação a ser implementada; (</w:t>
      </w:r>
      <w:proofErr w:type="spellStart"/>
      <w:r w:rsidR="009529B7" w:rsidRPr="009529B7">
        <w:rPr>
          <w:rFonts w:ascii="Arial" w:hAnsi="Arial" w:cs="Arial"/>
        </w:rPr>
        <w:t>ii</w:t>
      </w:r>
      <w:proofErr w:type="spellEnd"/>
      <w:r w:rsidR="009529B7" w:rsidRPr="009529B7">
        <w:rPr>
          <w:rFonts w:ascii="Arial" w:hAnsi="Arial" w:cs="Arial"/>
        </w:rPr>
        <w:t>) o regime de transição, conforme art. 34 da LINDB; e (</w:t>
      </w:r>
      <w:proofErr w:type="spellStart"/>
      <w:r w:rsidR="009529B7" w:rsidRPr="009529B7">
        <w:rPr>
          <w:rFonts w:ascii="Arial" w:hAnsi="Arial" w:cs="Arial"/>
        </w:rPr>
        <w:t>iii</w:t>
      </w:r>
      <w:proofErr w:type="spellEnd"/>
      <w:r w:rsidR="009529B7" w:rsidRPr="009529B7">
        <w:rPr>
          <w:rFonts w:ascii="Arial" w:hAnsi="Arial" w:cs="Arial"/>
        </w:rPr>
        <w:t>) a forma de avaliação/fiscalização permanente das medidas estruturantes; ou a eventual postergação dessa delineação para momento posterior;</w:t>
      </w:r>
    </w:p>
    <w:p w14:paraId="3BBB4289" w14:textId="060B068C"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 xml:space="preserve">c) </w:t>
      </w:r>
      <w:r w:rsidR="009529B7" w:rsidRPr="009529B7">
        <w:rPr>
          <w:rFonts w:ascii="Arial" w:hAnsi="Arial" w:cs="Arial"/>
        </w:rPr>
        <w:t xml:space="preserve">A intimação do Ministério Público, nos termos do art. 5º, § 1º, da Lei n.º 7.347/85, para atuar na condição de </w:t>
      </w:r>
      <w:r w:rsidR="009529B7" w:rsidRPr="009529B7">
        <w:rPr>
          <w:rFonts w:ascii="Arial" w:hAnsi="Arial" w:cs="Arial"/>
          <w:i/>
          <w:iCs/>
        </w:rPr>
        <w:t>custos legis</w:t>
      </w:r>
      <w:r w:rsidR="009529B7" w:rsidRPr="009529B7">
        <w:rPr>
          <w:rFonts w:ascii="Arial" w:hAnsi="Arial" w:cs="Arial"/>
        </w:rPr>
        <w:t>;</w:t>
      </w:r>
    </w:p>
    <w:p w14:paraId="19F44E93" w14:textId="6A8972DE"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 xml:space="preserve">d) </w:t>
      </w:r>
      <w:r w:rsidR="009529B7" w:rsidRPr="009529B7">
        <w:rPr>
          <w:rFonts w:ascii="Arial" w:hAnsi="Arial" w:cs="Arial"/>
        </w:rPr>
        <w:t xml:space="preserve">No mérito, seja julgado procedente o pedido, confirmando a tutela provisória de urgência, para garantir direitos básicos das pessoas em sofrimento psíquico e/ou com </w:t>
      </w:r>
      <w:r w:rsidR="009529B7" w:rsidRPr="009529B7">
        <w:rPr>
          <w:rFonts w:ascii="Arial" w:hAnsi="Arial" w:cs="Arial"/>
        </w:rPr>
        <w:lastRenderedPageBreak/>
        <w:t xml:space="preserve">necessidades decorrentes do uso de substâncias no Município de [Nome do Município], por meio de técnicas de controle jurisdicional de políticas públicas, em consonância às diretrizes da Lei n.º 10.216/2001, da Portaria de Consolidação GM/MS n.º 3/2017 </w:t>
      </w:r>
      <w:r>
        <w:rPr>
          <w:rFonts w:ascii="Arial" w:hAnsi="Arial" w:cs="Arial"/>
        </w:rPr>
        <w:t xml:space="preserve">do Ministério da Saúde, </w:t>
      </w:r>
      <w:r w:rsidR="009529B7" w:rsidRPr="009529B7">
        <w:rPr>
          <w:rFonts w:ascii="Arial" w:hAnsi="Arial" w:cs="Arial"/>
        </w:rPr>
        <w:t>e da jurisprudência da Corte Interamericana de Direitos Humanos;</w:t>
      </w:r>
    </w:p>
    <w:p w14:paraId="4C7717D9" w14:textId="32D89921"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 xml:space="preserve">e) </w:t>
      </w:r>
      <w:r w:rsidR="009529B7" w:rsidRPr="009529B7">
        <w:rPr>
          <w:rFonts w:ascii="Arial" w:hAnsi="Arial" w:cs="Arial"/>
        </w:rPr>
        <w:t>A dispensa do pagamento de custas processuais, emolumentos e outros encargos, face ao previsto no artigo 18 da Lei n.º 7.347/85;</w:t>
      </w:r>
    </w:p>
    <w:p w14:paraId="0FDAAD63" w14:textId="5F38A9EA" w:rsidR="009529B7" w:rsidRPr="009529B7" w:rsidRDefault="00557C08" w:rsidP="00557C08">
      <w:pPr>
        <w:pBdr>
          <w:top w:val="nil"/>
          <w:left w:val="nil"/>
          <w:bottom w:val="nil"/>
          <w:right w:val="nil"/>
          <w:between w:val="nil"/>
        </w:pBdr>
        <w:spacing w:after="240" w:line="360" w:lineRule="auto"/>
        <w:jc w:val="both"/>
        <w:rPr>
          <w:rFonts w:ascii="Arial" w:hAnsi="Arial" w:cs="Arial"/>
        </w:rPr>
      </w:pPr>
      <w:r>
        <w:rPr>
          <w:rFonts w:ascii="Arial" w:hAnsi="Arial" w:cs="Arial"/>
        </w:rPr>
        <w:t xml:space="preserve">f) </w:t>
      </w:r>
      <w:r w:rsidR="009529B7" w:rsidRPr="009529B7">
        <w:rPr>
          <w:rFonts w:ascii="Arial" w:hAnsi="Arial" w:cs="Arial"/>
        </w:rPr>
        <w:t>A condenação da ré ao pagamento de honorários sucumbenciais em favor da Defensoria Pública do Estado de Minas Gerais, conforme dispõem o art. 4º, XXI, da Lei Complementar n.º 80/94, e o art. 5º, XVIII, da Lei Complementar Estadual n.º 65/03.</w:t>
      </w:r>
    </w:p>
    <w:p w14:paraId="78C0C1F0" w14:textId="77777777" w:rsidR="009529B7" w:rsidRPr="00557C08" w:rsidRDefault="009529B7" w:rsidP="00557C08">
      <w:pPr>
        <w:autoSpaceDE w:val="0"/>
        <w:autoSpaceDN w:val="0"/>
        <w:adjustRightInd w:val="0"/>
        <w:spacing w:before="120" w:after="120" w:line="360" w:lineRule="auto"/>
        <w:jc w:val="both"/>
        <w:rPr>
          <w:rFonts w:ascii="Arial" w:hAnsi="Arial" w:cs="Arial"/>
        </w:rPr>
      </w:pPr>
      <w:r w:rsidRPr="00557C08">
        <w:rPr>
          <w:rFonts w:ascii="Arial" w:eastAsia="Calibri" w:hAnsi="Arial" w:cs="Arial"/>
          <w:color w:val="00000A"/>
        </w:rPr>
        <w:t xml:space="preserve">Pretende-se demonstrar os fatos alegados por todos os meios de provas admitidos, notadamente a documental, a testemunhal, </w:t>
      </w:r>
      <w:r w:rsidRPr="00557C08">
        <w:rPr>
          <w:rFonts w:ascii="Arial" w:eastAsia="Calibri" w:hAnsi="Arial" w:cs="Arial"/>
          <w:color w:val="000000"/>
        </w:rPr>
        <w:t>a pericial, e a a</w:t>
      </w:r>
      <w:r w:rsidRPr="00557C08">
        <w:rPr>
          <w:rFonts w:ascii="Arial" w:hAnsi="Arial" w:cs="Arial"/>
        </w:rPr>
        <w:t>ssistência técnica independente</w:t>
      </w:r>
      <w:r w:rsidRPr="00557C08">
        <w:rPr>
          <w:rFonts w:ascii="Arial" w:eastAsia="Calibri" w:hAnsi="Arial" w:cs="Arial"/>
          <w:color w:val="000000"/>
        </w:rPr>
        <w:t>.</w:t>
      </w:r>
    </w:p>
    <w:p w14:paraId="15DD14D8" w14:textId="77777777" w:rsidR="009529B7" w:rsidRPr="00557C08" w:rsidRDefault="009529B7" w:rsidP="00557C08">
      <w:pPr>
        <w:autoSpaceDE w:val="0"/>
        <w:autoSpaceDN w:val="0"/>
        <w:adjustRightInd w:val="0"/>
        <w:spacing w:before="120" w:after="120" w:line="360" w:lineRule="auto"/>
        <w:jc w:val="both"/>
        <w:rPr>
          <w:rFonts w:ascii="Arial" w:hAnsi="Arial" w:cs="Arial"/>
        </w:rPr>
      </w:pPr>
      <w:r w:rsidRPr="00557C08">
        <w:rPr>
          <w:rFonts w:ascii="Arial" w:eastAsia="Calibri" w:hAnsi="Arial" w:cs="Arial"/>
          <w:color w:val="000000"/>
        </w:rPr>
        <w:t>Atribui-se à causa o valor equivalente a R$ 10.000.000,00 (dez milhões de reais).</w:t>
      </w:r>
    </w:p>
    <w:p w14:paraId="2881A02B" w14:textId="364F235E" w:rsidR="00DB570B" w:rsidRPr="00DB570B" w:rsidRDefault="009529B7" w:rsidP="00557C08">
      <w:pPr>
        <w:pBdr>
          <w:top w:val="nil"/>
          <w:left w:val="nil"/>
          <w:bottom w:val="nil"/>
          <w:right w:val="nil"/>
          <w:between w:val="nil"/>
        </w:pBdr>
        <w:spacing w:after="240" w:line="360" w:lineRule="auto"/>
        <w:jc w:val="both"/>
        <w:rPr>
          <w:rFonts w:ascii="Arial" w:hAnsi="Arial" w:cs="Arial"/>
        </w:rPr>
      </w:pPr>
      <w:r>
        <w:rPr>
          <w:rFonts w:ascii="Arial" w:hAnsi="Arial" w:cs="Arial"/>
        </w:rPr>
        <w:t>Pede</w:t>
      </w:r>
      <w:r w:rsidR="00DB570B" w:rsidRPr="00DB570B">
        <w:rPr>
          <w:rFonts w:ascii="Arial" w:hAnsi="Arial" w:cs="Arial"/>
        </w:rPr>
        <w:t xml:space="preserve"> deferimento.</w:t>
      </w:r>
    </w:p>
    <w:p w14:paraId="0FEA4B2C" w14:textId="150CACE9" w:rsidR="00DB570B" w:rsidRPr="00DB570B" w:rsidRDefault="00DB570B" w:rsidP="00557C08">
      <w:pPr>
        <w:pBdr>
          <w:top w:val="nil"/>
          <w:left w:val="nil"/>
          <w:bottom w:val="nil"/>
          <w:right w:val="nil"/>
          <w:between w:val="nil"/>
        </w:pBdr>
        <w:spacing w:after="240" w:line="360" w:lineRule="auto"/>
        <w:jc w:val="both"/>
        <w:rPr>
          <w:rFonts w:ascii="Arial" w:hAnsi="Arial" w:cs="Arial"/>
        </w:rPr>
      </w:pPr>
      <w:r w:rsidRPr="00DB570B">
        <w:rPr>
          <w:rFonts w:ascii="Arial" w:hAnsi="Arial" w:cs="Arial"/>
        </w:rPr>
        <w:t xml:space="preserve"> [Nome da Comarca]), [Data].</w:t>
      </w:r>
    </w:p>
    <w:p w14:paraId="2A5282C8" w14:textId="77777777" w:rsidR="00DB570B" w:rsidRPr="00C23B9E" w:rsidRDefault="00DB570B" w:rsidP="00557C08">
      <w:pPr>
        <w:pBdr>
          <w:top w:val="nil"/>
          <w:left w:val="nil"/>
          <w:bottom w:val="nil"/>
          <w:right w:val="nil"/>
          <w:between w:val="nil"/>
        </w:pBdr>
        <w:spacing w:after="240" w:line="360" w:lineRule="auto"/>
        <w:jc w:val="both"/>
        <w:rPr>
          <w:rFonts w:ascii="Arial" w:hAnsi="Arial" w:cs="Arial"/>
        </w:rPr>
      </w:pPr>
      <w:r w:rsidRPr="00C23B9E">
        <w:rPr>
          <w:rFonts w:ascii="Arial" w:hAnsi="Arial" w:cs="Arial"/>
        </w:rPr>
        <w:t>[NOME DO(A) DEFENSOR(A) PÚBLICO(A)]</w:t>
      </w:r>
    </w:p>
    <w:p w14:paraId="52AB85D5" w14:textId="041C840E" w:rsidR="00DB570B" w:rsidRDefault="00DB570B" w:rsidP="00557C08">
      <w:pPr>
        <w:pBdr>
          <w:top w:val="nil"/>
          <w:left w:val="nil"/>
          <w:bottom w:val="nil"/>
          <w:right w:val="nil"/>
          <w:between w:val="nil"/>
        </w:pBdr>
        <w:spacing w:after="240" w:line="360" w:lineRule="auto"/>
        <w:jc w:val="both"/>
        <w:rPr>
          <w:rFonts w:ascii="Arial" w:hAnsi="Arial" w:cs="Arial"/>
        </w:rPr>
      </w:pPr>
      <w:r w:rsidRPr="00DB570B">
        <w:rPr>
          <w:rFonts w:ascii="Arial" w:hAnsi="Arial" w:cs="Arial"/>
        </w:rPr>
        <w:t>Defensor(a) Público(a) do Estado de Minas Gerais</w:t>
      </w:r>
    </w:p>
    <w:sectPr w:rsidR="00DB570B" w:rsidSect="007C2CA2">
      <w:headerReference w:type="default" r:id="rId7"/>
      <w:pgSz w:w="11906" w:h="16838"/>
      <w:pgMar w:top="1417" w:right="1133" w:bottom="1134"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96191" w14:textId="77777777" w:rsidR="005C3FE9" w:rsidRDefault="005C3FE9" w:rsidP="004B6944">
      <w:r>
        <w:separator/>
      </w:r>
    </w:p>
  </w:endnote>
  <w:endnote w:type="continuationSeparator" w:id="0">
    <w:p w14:paraId="62BCFCCB" w14:textId="77777777" w:rsidR="005C3FE9" w:rsidRDefault="005C3FE9" w:rsidP="004B6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C6698" w14:textId="77777777" w:rsidR="005C3FE9" w:rsidRDefault="005C3FE9" w:rsidP="004B6944">
      <w:r>
        <w:separator/>
      </w:r>
    </w:p>
  </w:footnote>
  <w:footnote w:type="continuationSeparator" w:id="0">
    <w:p w14:paraId="3C1A595A" w14:textId="77777777" w:rsidR="005C3FE9" w:rsidRDefault="005C3FE9" w:rsidP="004B6944">
      <w:r>
        <w:continuationSeparator/>
      </w:r>
    </w:p>
  </w:footnote>
  <w:footnote w:id="1">
    <w:p w14:paraId="29E5CD92" w14:textId="77777777" w:rsidR="00AE07BB" w:rsidRPr="00082965" w:rsidRDefault="00AE07BB" w:rsidP="00AE07BB">
      <w:pPr>
        <w:pStyle w:val="Textodenotaderodap"/>
        <w:jc w:val="both"/>
        <w:rPr>
          <w:rFonts w:ascii="Arial" w:hAnsi="Arial" w:cs="Arial"/>
        </w:rPr>
      </w:pPr>
      <w:r w:rsidRPr="00082965">
        <w:rPr>
          <w:rStyle w:val="Refdenotaderodap"/>
          <w:rFonts w:ascii="Arial" w:hAnsi="Arial" w:cs="Arial"/>
        </w:rPr>
        <w:footnoteRef/>
      </w:r>
      <w:r w:rsidRPr="00082965">
        <w:rPr>
          <w:rFonts w:ascii="Arial" w:hAnsi="Arial" w:cs="Arial"/>
        </w:rPr>
        <w:t xml:space="preserve"> WATANABE, Kazuo. Controle jurisdicional das políticas públicas – 'Mínimo existencial' e demais direitos fundamentais imediatamente judicializáveis. In: GRINOVER, Ada Pelegrini; _____ (</w:t>
      </w:r>
      <w:proofErr w:type="spellStart"/>
      <w:r w:rsidRPr="00082965">
        <w:rPr>
          <w:rFonts w:ascii="Arial" w:hAnsi="Arial" w:cs="Arial"/>
        </w:rPr>
        <w:t>Coords</w:t>
      </w:r>
      <w:proofErr w:type="spellEnd"/>
      <w:r w:rsidRPr="00082965">
        <w:rPr>
          <w:rFonts w:ascii="Arial" w:hAnsi="Arial" w:cs="Arial"/>
        </w:rPr>
        <w:t>.). O controle jurisdicional de políticas públicas. 2. ed. Rio de Janeiro: Forense, 2013. p. 217-218.</w:t>
      </w:r>
    </w:p>
  </w:footnote>
  <w:footnote w:id="2">
    <w:p w14:paraId="23EBDE76" w14:textId="77777777" w:rsidR="00AE07BB" w:rsidRPr="00082965" w:rsidRDefault="00AE07BB" w:rsidP="00AE07BB">
      <w:pPr>
        <w:pStyle w:val="Textodenotaderodap"/>
        <w:rPr>
          <w:rFonts w:ascii="Arial" w:hAnsi="Arial" w:cs="Arial"/>
        </w:rPr>
      </w:pPr>
      <w:r w:rsidRPr="00082965">
        <w:rPr>
          <w:rStyle w:val="Refdenotaderodap"/>
          <w:rFonts w:ascii="Arial" w:hAnsi="Arial" w:cs="Arial"/>
        </w:rPr>
        <w:footnoteRef/>
      </w:r>
      <w:r w:rsidRPr="00082965">
        <w:rPr>
          <w:rFonts w:ascii="Arial" w:hAnsi="Arial" w:cs="Arial"/>
        </w:rPr>
        <w:t xml:space="preserve"> VITORELLI, Edilson. Processo Civil Estrutural: Teoria e Prática. 5ª ed. São Paulo: </w:t>
      </w:r>
      <w:proofErr w:type="spellStart"/>
      <w:r w:rsidRPr="00082965">
        <w:rPr>
          <w:rFonts w:ascii="Arial" w:hAnsi="Arial" w:cs="Arial"/>
        </w:rPr>
        <w:t>JusPodivm</w:t>
      </w:r>
      <w:proofErr w:type="spellEnd"/>
      <w:r w:rsidRPr="00082965">
        <w:rPr>
          <w:rFonts w:ascii="Arial" w:hAnsi="Arial" w:cs="Arial"/>
        </w:rPr>
        <w:t>, 2019. p. 74.</w:t>
      </w:r>
    </w:p>
  </w:footnote>
  <w:footnote w:id="3">
    <w:p w14:paraId="753096D0" w14:textId="77777777" w:rsidR="00AE07BB" w:rsidRPr="00082965" w:rsidRDefault="00AE07BB" w:rsidP="00AE07BB">
      <w:pPr>
        <w:pStyle w:val="Textodenotaderodap"/>
        <w:rPr>
          <w:rFonts w:ascii="Arial" w:hAnsi="Arial" w:cs="Arial"/>
        </w:rPr>
      </w:pPr>
      <w:r w:rsidRPr="00082965">
        <w:rPr>
          <w:rStyle w:val="Refdenotaderodap"/>
          <w:rFonts w:ascii="Arial" w:hAnsi="Arial" w:cs="Arial"/>
        </w:rPr>
        <w:footnoteRef/>
      </w:r>
      <w:r w:rsidRPr="00082965">
        <w:rPr>
          <w:rFonts w:ascii="Arial" w:hAnsi="Arial" w:cs="Arial"/>
        </w:rPr>
        <w:t xml:space="preserve"> DIDIER Jr., </w:t>
      </w:r>
      <w:proofErr w:type="spellStart"/>
      <w:r w:rsidRPr="00082965">
        <w:rPr>
          <w:rFonts w:ascii="Arial" w:hAnsi="Arial" w:cs="Arial"/>
        </w:rPr>
        <w:t>Fredie</w:t>
      </w:r>
      <w:proofErr w:type="spellEnd"/>
      <w:r w:rsidRPr="00082965">
        <w:rPr>
          <w:rFonts w:ascii="Arial" w:hAnsi="Arial" w:cs="Arial"/>
        </w:rPr>
        <w:t xml:space="preserve">; ZANETTI Jr., Hermes. Curso de Direito Processual Civil: Processo Coletivo. 14ª edição. Salvador: Ed. </w:t>
      </w:r>
      <w:proofErr w:type="spellStart"/>
      <w:r w:rsidRPr="00082965">
        <w:rPr>
          <w:rFonts w:ascii="Arial" w:hAnsi="Arial" w:cs="Arial"/>
        </w:rPr>
        <w:t>JusPodivm</w:t>
      </w:r>
      <w:proofErr w:type="spellEnd"/>
      <w:r w:rsidRPr="00082965">
        <w:rPr>
          <w:rFonts w:ascii="Arial" w:hAnsi="Arial" w:cs="Arial"/>
        </w:rPr>
        <w:t>, 2020. p. 577 e ss.</w:t>
      </w:r>
    </w:p>
  </w:footnote>
  <w:footnote w:id="4">
    <w:p w14:paraId="6416A0FF" w14:textId="77777777" w:rsidR="00AE07BB" w:rsidRPr="00082965" w:rsidRDefault="00AE07BB" w:rsidP="00AE07BB">
      <w:pPr>
        <w:pStyle w:val="Textodenotaderodap"/>
        <w:rPr>
          <w:rFonts w:ascii="Arial" w:hAnsi="Arial" w:cs="Arial"/>
        </w:rPr>
      </w:pPr>
      <w:r w:rsidRPr="00082965">
        <w:rPr>
          <w:rStyle w:val="Refdenotaderodap"/>
          <w:rFonts w:ascii="Arial" w:hAnsi="Arial" w:cs="Arial"/>
        </w:rPr>
        <w:footnoteRef/>
      </w:r>
      <w:r w:rsidRPr="00082965">
        <w:rPr>
          <w:rFonts w:ascii="Arial" w:hAnsi="Arial" w:cs="Arial"/>
        </w:rPr>
        <w:t xml:space="preserve"> DIDIER Jr., </w:t>
      </w:r>
      <w:proofErr w:type="spellStart"/>
      <w:r w:rsidRPr="00082965">
        <w:rPr>
          <w:rFonts w:ascii="Arial" w:hAnsi="Arial" w:cs="Arial"/>
        </w:rPr>
        <w:t>Fredie</w:t>
      </w:r>
      <w:proofErr w:type="spellEnd"/>
      <w:r w:rsidRPr="00082965">
        <w:rPr>
          <w:rFonts w:ascii="Arial" w:hAnsi="Arial" w:cs="Arial"/>
        </w:rPr>
        <w:t xml:space="preserve">; ZANETTI Jr., Hermes. </w:t>
      </w:r>
      <w:r w:rsidRPr="00082965">
        <w:rPr>
          <w:rFonts w:ascii="Arial" w:hAnsi="Arial" w:cs="Arial"/>
          <w:i/>
          <w:iCs/>
        </w:rPr>
        <w:t>Ibidem</w:t>
      </w:r>
      <w:r w:rsidRPr="00082965">
        <w:rPr>
          <w:rFonts w:ascii="Arial" w:hAnsi="Arial" w:cs="Arial"/>
        </w:rPr>
        <w:t>. p. 585.</w:t>
      </w:r>
    </w:p>
  </w:footnote>
  <w:footnote w:id="5">
    <w:p w14:paraId="532B4528" w14:textId="77777777" w:rsidR="00AE07BB" w:rsidRPr="00082965" w:rsidRDefault="00AE07BB" w:rsidP="00AE07BB">
      <w:pPr>
        <w:pStyle w:val="Textodenotaderodap"/>
        <w:rPr>
          <w:rFonts w:ascii="Arial" w:hAnsi="Arial" w:cs="Arial"/>
        </w:rPr>
      </w:pPr>
      <w:r w:rsidRPr="00082965">
        <w:rPr>
          <w:rStyle w:val="Refdenotaderodap"/>
          <w:rFonts w:ascii="Arial" w:hAnsi="Arial" w:cs="Arial"/>
        </w:rPr>
        <w:footnoteRef/>
      </w:r>
      <w:r w:rsidRPr="00082965">
        <w:rPr>
          <w:rFonts w:ascii="Arial" w:hAnsi="Arial" w:cs="Arial"/>
        </w:rPr>
        <w:t xml:space="preserve"> VITORELLI, Edilson. Processo Civil Estrutural: Teoria e Prática. 5ª ed. São Paulo: </w:t>
      </w:r>
      <w:proofErr w:type="spellStart"/>
      <w:r w:rsidRPr="00082965">
        <w:rPr>
          <w:rFonts w:ascii="Arial" w:hAnsi="Arial" w:cs="Arial"/>
        </w:rPr>
        <w:t>JusPodivm</w:t>
      </w:r>
      <w:proofErr w:type="spellEnd"/>
      <w:r w:rsidRPr="00082965">
        <w:rPr>
          <w:rFonts w:ascii="Arial" w:hAnsi="Arial" w:cs="Arial"/>
        </w:rPr>
        <w:t>, 2019. p. 84.</w:t>
      </w:r>
    </w:p>
  </w:footnote>
  <w:footnote w:id="6">
    <w:p w14:paraId="3E08E64C" w14:textId="77777777" w:rsidR="00AE07BB" w:rsidRPr="00082965" w:rsidRDefault="00AE07BB" w:rsidP="00AE07BB">
      <w:pPr>
        <w:pStyle w:val="Textodenotaderodap"/>
        <w:jc w:val="both"/>
        <w:rPr>
          <w:rFonts w:ascii="Arial" w:hAnsi="Arial" w:cs="Arial"/>
        </w:rPr>
      </w:pPr>
      <w:r w:rsidRPr="00082965">
        <w:rPr>
          <w:rStyle w:val="Refdenotaderodap"/>
          <w:rFonts w:ascii="Arial" w:hAnsi="Arial" w:cs="Arial"/>
        </w:rPr>
        <w:footnoteRef/>
      </w:r>
      <w:r w:rsidRPr="00082965">
        <w:rPr>
          <w:rFonts w:ascii="Arial" w:hAnsi="Arial" w:cs="Arial"/>
        </w:rPr>
        <w:t xml:space="preserve"> “</w:t>
      </w:r>
      <w:r w:rsidRPr="00082965">
        <w:rPr>
          <w:rFonts w:ascii="Arial" w:hAnsi="Arial" w:cs="Arial"/>
          <w:i/>
          <w:iCs/>
        </w:rPr>
        <w:t>Anteprojeto de Lei sobre Processo Estrutural é entregue ao Senado</w:t>
      </w:r>
      <w:r w:rsidRPr="00082965">
        <w:rPr>
          <w:rFonts w:ascii="Arial" w:hAnsi="Arial" w:cs="Arial"/>
        </w:rPr>
        <w:t xml:space="preserve">”. Agência Senado. https://www.tjmg.jus.br/portal-tjmg/noticias/anteprojeto-de-lei-sobre-processo-estrutural-e-entregue-ao-senado.htm#. Acesso em 17/12/2024.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8662" w14:textId="1B4D12AE" w:rsidR="004B6944" w:rsidRDefault="004B6944" w:rsidP="004B6944">
    <w:pPr>
      <w:pStyle w:val="Cabealho"/>
      <w:jc w:val="center"/>
    </w:pPr>
    <w:r>
      <w:rPr>
        <w:noProof/>
      </w:rPr>
      <w:drawing>
        <wp:inline distT="0" distB="0" distL="0" distR="0" wp14:anchorId="76D263A4" wp14:editId="0E07F391">
          <wp:extent cx="723900" cy="723900"/>
          <wp:effectExtent l="0" t="0" r="0" b="0"/>
          <wp:docPr id="652883168" name="Imagem 0" descr="logo_abril-2012_BAI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bril-2012_BAIXA.jpg"/>
                  <pic:cNvPicPr/>
                </pic:nvPicPr>
                <pic:blipFill>
                  <a:blip r:embed="rId1" cstate="print"/>
                  <a:stretch>
                    <a:fillRect/>
                  </a:stretch>
                </pic:blipFill>
                <pic:spPr>
                  <a:xfrm>
                    <a:off x="0" y="0"/>
                    <a:ext cx="734821" cy="7348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E10"/>
    <w:multiLevelType w:val="multilevel"/>
    <w:tmpl w:val="AD7CE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F5C16"/>
    <w:multiLevelType w:val="multilevel"/>
    <w:tmpl w:val="01A8D5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80BF9"/>
    <w:multiLevelType w:val="multilevel"/>
    <w:tmpl w:val="2258E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6785E"/>
    <w:multiLevelType w:val="multilevel"/>
    <w:tmpl w:val="00227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65B9C"/>
    <w:multiLevelType w:val="multilevel"/>
    <w:tmpl w:val="60FC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12F8B"/>
    <w:multiLevelType w:val="multilevel"/>
    <w:tmpl w:val="2862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9B04E7"/>
    <w:multiLevelType w:val="multilevel"/>
    <w:tmpl w:val="93BAB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425E15"/>
    <w:multiLevelType w:val="multilevel"/>
    <w:tmpl w:val="34D2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9A7D2D"/>
    <w:multiLevelType w:val="multilevel"/>
    <w:tmpl w:val="F68C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A4AAC"/>
    <w:multiLevelType w:val="multilevel"/>
    <w:tmpl w:val="F746C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972C9A"/>
    <w:multiLevelType w:val="multilevel"/>
    <w:tmpl w:val="9A0AE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21334B"/>
    <w:multiLevelType w:val="multilevel"/>
    <w:tmpl w:val="11A6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7170E"/>
    <w:multiLevelType w:val="multilevel"/>
    <w:tmpl w:val="377612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13378C"/>
    <w:multiLevelType w:val="multilevel"/>
    <w:tmpl w:val="8EFC0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14824"/>
    <w:multiLevelType w:val="multilevel"/>
    <w:tmpl w:val="8564BD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AD0F6F"/>
    <w:multiLevelType w:val="multilevel"/>
    <w:tmpl w:val="B250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D83D36"/>
    <w:multiLevelType w:val="multilevel"/>
    <w:tmpl w:val="E702F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486DCD"/>
    <w:multiLevelType w:val="multilevel"/>
    <w:tmpl w:val="25F81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2A7866"/>
    <w:multiLevelType w:val="multilevel"/>
    <w:tmpl w:val="4D4A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897298"/>
    <w:multiLevelType w:val="multilevel"/>
    <w:tmpl w:val="DDFA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894392">
    <w:abstractNumId w:val="10"/>
  </w:num>
  <w:num w:numId="2" w16cid:durableId="545414106">
    <w:abstractNumId w:val="11"/>
  </w:num>
  <w:num w:numId="3" w16cid:durableId="667832521">
    <w:abstractNumId w:val="13"/>
  </w:num>
  <w:num w:numId="4" w16cid:durableId="318727317">
    <w:abstractNumId w:val="6"/>
  </w:num>
  <w:num w:numId="5" w16cid:durableId="122844677">
    <w:abstractNumId w:val="16"/>
  </w:num>
  <w:num w:numId="6" w16cid:durableId="1473716843">
    <w:abstractNumId w:val="17"/>
  </w:num>
  <w:num w:numId="7" w16cid:durableId="611135147">
    <w:abstractNumId w:val="8"/>
  </w:num>
  <w:num w:numId="8" w16cid:durableId="2079277602">
    <w:abstractNumId w:val="2"/>
  </w:num>
  <w:num w:numId="9" w16cid:durableId="1021973866">
    <w:abstractNumId w:val="14"/>
  </w:num>
  <w:num w:numId="10" w16cid:durableId="1773864993">
    <w:abstractNumId w:val="19"/>
  </w:num>
  <w:num w:numId="11" w16cid:durableId="2121219037">
    <w:abstractNumId w:val="4"/>
  </w:num>
  <w:num w:numId="12" w16cid:durableId="1781483934">
    <w:abstractNumId w:val="9"/>
  </w:num>
  <w:num w:numId="13" w16cid:durableId="1210219284">
    <w:abstractNumId w:val="0"/>
  </w:num>
  <w:num w:numId="14" w16cid:durableId="1813017263">
    <w:abstractNumId w:val="5"/>
  </w:num>
  <w:num w:numId="15" w16cid:durableId="538319772">
    <w:abstractNumId w:val="18"/>
  </w:num>
  <w:num w:numId="16" w16cid:durableId="348870287">
    <w:abstractNumId w:val="15"/>
  </w:num>
  <w:num w:numId="17" w16cid:durableId="998538239">
    <w:abstractNumId w:val="1"/>
  </w:num>
  <w:num w:numId="18" w16cid:durableId="252517711">
    <w:abstractNumId w:val="7"/>
  </w:num>
  <w:num w:numId="19" w16cid:durableId="561716033">
    <w:abstractNumId w:val="3"/>
  </w:num>
  <w:num w:numId="20" w16cid:durableId="1896696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43"/>
    <w:rsid w:val="00016859"/>
    <w:rsid w:val="00060668"/>
    <w:rsid w:val="000831F0"/>
    <w:rsid w:val="00087853"/>
    <w:rsid w:val="000A3430"/>
    <w:rsid w:val="00127E61"/>
    <w:rsid w:val="00141A6E"/>
    <w:rsid w:val="001C6244"/>
    <w:rsid w:val="00292841"/>
    <w:rsid w:val="002C010B"/>
    <w:rsid w:val="002F087E"/>
    <w:rsid w:val="0031249B"/>
    <w:rsid w:val="0045296E"/>
    <w:rsid w:val="004B6944"/>
    <w:rsid w:val="004B6B1D"/>
    <w:rsid w:val="00523F00"/>
    <w:rsid w:val="00557C08"/>
    <w:rsid w:val="005C3FE9"/>
    <w:rsid w:val="0061068E"/>
    <w:rsid w:val="0064512E"/>
    <w:rsid w:val="00694EE5"/>
    <w:rsid w:val="00695843"/>
    <w:rsid w:val="006F1100"/>
    <w:rsid w:val="00775926"/>
    <w:rsid w:val="007911FF"/>
    <w:rsid w:val="007C2CA2"/>
    <w:rsid w:val="009529B7"/>
    <w:rsid w:val="00972B06"/>
    <w:rsid w:val="009C2C0A"/>
    <w:rsid w:val="00A24860"/>
    <w:rsid w:val="00A274AB"/>
    <w:rsid w:val="00AE07BB"/>
    <w:rsid w:val="00C23B9E"/>
    <w:rsid w:val="00C86B8C"/>
    <w:rsid w:val="00CB4321"/>
    <w:rsid w:val="00D703B8"/>
    <w:rsid w:val="00DB570B"/>
    <w:rsid w:val="00DF7B39"/>
    <w:rsid w:val="00E17DF0"/>
    <w:rsid w:val="00E250E7"/>
    <w:rsid w:val="00E2700A"/>
    <w:rsid w:val="00EE5314"/>
    <w:rsid w:val="00F523BA"/>
    <w:rsid w:val="00F557C6"/>
    <w:rsid w:val="00F95FD7"/>
    <w:rsid w:val="00F96F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0F145"/>
  <w15:chartTrackingRefBased/>
  <w15:docId w15:val="{1D6A92F0-CD09-4B75-9A89-DB72C0D1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F00"/>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6958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958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9584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9584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9584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9584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9584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9584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95843"/>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584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9584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9584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9584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9584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9584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9584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9584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95843"/>
    <w:rPr>
      <w:rFonts w:eastAsiaTheme="majorEastAsia" w:cstheme="majorBidi"/>
      <w:color w:val="272727" w:themeColor="text1" w:themeTint="D8"/>
    </w:rPr>
  </w:style>
  <w:style w:type="paragraph" w:styleId="Ttulo">
    <w:name w:val="Title"/>
    <w:basedOn w:val="Normal"/>
    <w:next w:val="Normal"/>
    <w:link w:val="TtuloChar"/>
    <w:uiPriority w:val="10"/>
    <w:qFormat/>
    <w:rsid w:val="00695843"/>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958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9584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9584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95843"/>
    <w:pPr>
      <w:spacing w:before="160"/>
      <w:jc w:val="center"/>
    </w:pPr>
    <w:rPr>
      <w:i/>
      <w:iCs/>
      <w:color w:val="404040" w:themeColor="text1" w:themeTint="BF"/>
    </w:rPr>
  </w:style>
  <w:style w:type="character" w:customStyle="1" w:styleId="CitaoChar">
    <w:name w:val="Citação Char"/>
    <w:basedOn w:val="Fontepargpadro"/>
    <w:link w:val="Citao"/>
    <w:uiPriority w:val="29"/>
    <w:rsid w:val="00695843"/>
    <w:rPr>
      <w:i/>
      <w:iCs/>
      <w:color w:val="404040" w:themeColor="text1" w:themeTint="BF"/>
    </w:rPr>
  </w:style>
  <w:style w:type="paragraph" w:styleId="PargrafodaLista">
    <w:name w:val="List Paragraph"/>
    <w:basedOn w:val="Normal"/>
    <w:uiPriority w:val="34"/>
    <w:qFormat/>
    <w:rsid w:val="00695843"/>
    <w:pPr>
      <w:ind w:left="720"/>
      <w:contextualSpacing/>
    </w:pPr>
  </w:style>
  <w:style w:type="character" w:styleId="nfaseIntensa">
    <w:name w:val="Intense Emphasis"/>
    <w:basedOn w:val="Fontepargpadro"/>
    <w:uiPriority w:val="21"/>
    <w:qFormat/>
    <w:rsid w:val="00695843"/>
    <w:rPr>
      <w:i/>
      <w:iCs/>
      <w:color w:val="2F5496" w:themeColor="accent1" w:themeShade="BF"/>
    </w:rPr>
  </w:style>
  <w:style w:type="paragraph" w:styleId="CitaoIntensa">
    <w:name w:val="Intense Quote"/>
    <w:basedOn w:val="Normal"/>
    <w:next w:val="Normal"/>
    <w:link w:val="CitaoIntensaChar"/>
    <w:uiPriority w:val="30"/>
    <w:qFormat/>
    <w:rsid w:val="006958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95843"/>
    <w:rPr>
      <w:i/>
      <w:iCs/>
      <w:color w:val="2F5496" w:themeColor="accent1" w:themeShade="BF"/>
    </w:rPr>
  </w:style>
  <w:style w:type="character" w:styleId="RefernciaIntensa">
    <w:name w:val="Intense Reference"/>
    <w:basedOn w:val="Fontepargpadro"/>
    <w:uiPriority w:val="32"/>
    <w:qFormat/>
    <w:rsid w:val="00695843"/>
    <w:rPr>
      <w:b/>
      <w:bCs/>
      <w:smallCaps/>
      <w:color w:val="2F5496" w:themeColor="accent1" w:themeShade="BF"/>
      <w:spacing w:val="5"/>
    </w:rPr>
  </w:style>
  <w:style w:type="paragraph" w:styleId="Cabealho">
    <w:name w:val="header"/>
    <w:basedOn w:val="Normal"/>
    <w:link w:val="CabealhoChar"/>
    <w:uiPriority w:val="99"/>
    <w:unhideWhenUsed/>
    <w:rsid w:val="004B6944"/>
    <w:pPr>
      <w:tabs>
        <w:tab w:val="center" w:pos="4252"/>
        <w:tab w:val="right" w:pos="8504"/>
      </w:tabs>
    </w:pPr>
  </w:style>
  <w:style w:type="character" w:customStyle="1" w:styleId="CabealhoChar">
    <w:name w:val="Cabeçalho Char"/>
    <w:basedOn w:val="Fontepargpadro"/>
    <w:link w:val="Cabealho"/>
    <w:uiPriority w:val="99"/>
    <w:rsid w:val="004B6944"/>
  </w:style>
  <w:style w:type="paragraph" w:styleId="Rodap">
    <w:name w:val="footer"/>
    <w:basedOn w:val="Normal"/>
    <w:link w:val="RodapChar"/>
    <w:uiPriority w:val="99"/>
    <w:unhideWhenUsed/>
    <w:rsid w:val="004B6944"/>
    <w:pPr>
      <w:tabs>
        <w:tab w:val="center" w:pos="4252"/>
        <w:tab w:val="right" w:pos="8504"/>
      </w:tabs>
    </w:pPr>
  </w:style>
  <w:style w:type="character" w:customStyle="1" w:styleId="RodapChar">
    <w:name w:val="Rodapé Char"/>
    <w:basedOn w:val="Fontepargpadro"/>
    <w:link w:val="Rodap"/>
    <w:uiPriority w:val="99"/>
    <w:rsid w:val="004B6944"/>
  </w:style>
  <w:style w:type="paragraph" w:styleId="Textodenotaderodap">
    <w:name w:val="footnote text"/>
    <w:basedOn w:val="Normal"/>
    <w:link w:val="TextodenotaderodapChar"/>
    <w:rsid w:val="00523F00"/>
    <w:rPr>
      <w:sz w:val="20"/>
      <w:szCs w:val="20"/>
    </w:rPr>
  </w:style>
  <w:style w:type="character" w:customStyle="1" w:styleId="TextodenotaderodapChar">
    <w:name w:val="Texto de nota de rodapé Char"/>
    <w:basedOn w:val="Fontepargpadro"/>
    <w:link w:val="Textodenotaderodap"/>
    <w:rsid w:val="00523F00"/>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rsid w:val="00523F00"/>
    <w:rPr>
      <w:vertAlign w:val="superscript"/>
    </w:rPr>
  </w:style>
  <w:style w:type="table" w:styleId="Tabelacomgrade">
    <w:name w:val="Table Grid"/>
    <w:basedOn w:val="Tabelanormal"/>
    <w:rsid w:val="00AE07BB"/>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23</Pages>
  <Words>7525</Words>
  <Characters>40638</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Faria Alves</dc:creator>
  <cp:keywords/>
  <dc:description/>
  <cp:lastModifiedBy>Lucas Faria Alves</cp:lastModifiedBy>
  <cp:revision>17</cp:revision>
  <dcterms:created xsi:type="dcterms:W3CDTF">2026-07-24T21:20:00Z</dcterms:created>
  <dcterms:modified xsi:type="dcterms:W3CDTF">2026-07-27T21:12:00Z</dcterms:modified>
</cp:coreProperties>
</file>