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45B91" w14:textId="77777777" w:rsidR="007C526B" w:rsidRPr="00AC41FD" w:rsidRDefault="00BE4420" w:rsidP="009E7E01">
      <w:pPr>
        <w:shd w:val="clear" w:color="auto" w:fill="EAF1DD" w:themeFill="accent3" w:themeFillTint="33"/>
        <w:jc w:val="center"/>
        <w:rPr>
          <w:rFonts w:ascii="Arial" w:eastAsia="Times New Roman" w:hAnsi="Arial" w:cs="Arial"/>
          <w:b/>
          <w:smallCaps/>
        </w:rPr>
      </w:pPr>
      <w:r w:rsidRPr="00AC41FD">
        <w:rPr>
          <w:rFonts w:ascii="Arial" w:eastAsia="Times New Roman" w:hAnsi="Arial" w:cs="Arial"/>
          <w:b/>
          <w:smallCaps/>
        </w:rPr>
        <w:t>Portaria de Instauração</w:t>
      </w:r>
    </w:p>
    <w:p w14:paraId="3DF45B92" w14:textId="77777777" w:rsidR="007C526B" w:rsidRPr="00AC41FD" w:rsidRDefault="00BE4420" w:rsidP="009E7E01">
      <w:pPr>
        <w:shd w:val="clear" w:color="auto" w:fill="EAF1DD" w:themeFill="accent3" w:themeFillTint="33"/>
        <w:spacing w:after="120"/>
        <w:jc w:val="center"/>
        <w:rPr>
          <w:rFonts w:ascii="Arial" w:eastAsia="Times New Roman" w:hAnsi="Arial" w:cs="Arial"/>
          <w:b/>
          <w:smallCaps/>
          <w:u w:val="single"/>
        </w:rPr>
      </w:pPr>
      <w:r w:rsidRPr="00AC41FD">
        <w:rPr>
          <w:rFonts w:ascii="Arial" w:eastAsia="Times New Roman" w:hAnsi="Arial" w:cs="Arial"/>
          <w:b/>
          <w:smallCaps/>
        </w:rPr>
        <w:t>Procedimento Administrativo de Tutela Coletiva</w:t>
      </w:r>
    </w:p>
    <w:p w14:paraId="3DF45B94" w14:textId="77777777" w:rsidR="005F3DC4" w:rsidRPr="00AC41FD" w:rsidRDefault="005F3DC4">
      <w:pPr>
        <w:pBdr>
          <w:top w:val="nil"/>
          <w:left w:val="nil"/>
          <w:bottom w:val="nil"/>
          <w:right w:val="nil"/>
          <w:between w:val="nil"/>
        </w:pBdr>
        <w:spacing w:after="80"/>
        <w:jc w:val="both"/>
        <w:rPr>
          <w:rFonts w:ascii="Arial" w:eastAsia="Times New Roman" w:hAnsi="Arial" w:cs="Arial"/>
          <w:b/>
          <w:color w:val="000000"/>
        </w:rPr>
      </w:pPr>
    </w:p>
    <w:p w14:paraId="3DF45B95" w14:textId="7A1022FE" w:rsidR="00C52235" w:rsidRPr="00AC41FD" w:rsidRDefault="00BE4420" w:rsidP="00BA141C">
      <w:pPr>
        <w:pBdr>
          <w:top w:val="nil"/>
          <w:left w:val="nil"/>
          <w:bottom w:val="nil"/>
          <w:right w:val="nil"/>
          <w:between w:val="nil"/>
        </w:pBdr>
        <w:shd w:val="clear" w:color="auto" w:fill="EAF1DD" w:themeFill="accent3" w:themeFillTint="33"/>
        <w:spacing w:after="80"/>
        <w:jc w:val="both"/>
        <w:rPr>
          <w:rFonts w:ascii="Arial" w:eastAsia="Times New Roman" w:hAnsi="Arial" w:cs="Arial"/>
          <w:b/>
          <w:color w:val="000000"/>
        </w:rPr>
      </w:pPr>
      <w:r w:rsidRPr="00AC41FD">
        <w:rPr>
          <w:rFonts w:ascii="Arial" w:eastAsia="Times New Roman" w:hAnsi="Arial" w:cs="Arial"/>
          <w:b/>
          <w:color w:val="000000"/>
        </w:rPr>
        <w:t>PTAC nº</w:t>
      </w:r>
      <w:r w:rsidR="0029115F" w:rsidRPr="00AC41FD">
        <w:rPr>
          <w:rFonts w:ascii="Arial" w:eastAsia="Times New Roman" w:hAnsi="Arial" w:cs="Arial"/>
          <w:b/>
        </w:rPr>
        <w:t xml:space="preserve"> </w:t>
      </w:r>
      <w:r w:rsidR="00E261A8" w:rsidRPr="00AC41FD">
        <w:rPr>
          <w:rFonts w:ascii="Arial" w:eastAsia="Times New Roman" w:hAnsi="Arial" w:cs="Arial"/>
          <w:b/>
          <w:color w:val="EE0000"/>
        </w:rPr>
        <w:t>XX/XXXX</w:t>
      </w:r>
      <w:r w:rsidR="00EB6AA2" w:rsidRPr="00AC41FD">
        <w:rPr>
          <w:rFonts w:ascii="Arial" w:eastAsia="Times New Roman" w:hAnsi="Arial" w:cs="Arial"/>
          <w:b/>
          <w:color w:val="EE0000"/>
        </w:rPr>
        <w:t xml:space="preserve"> – Solicitar </w:t>
      </w:r>
      <w:r w:rsidR="005131AC" w:rsidRPr="00AC41FD">
        <w:rPr>
          <w:rFonts w:ascii="Arial" w:eastAsia="Times New Roman" w:hAnsi="Arial" w:cs="Arial"/>
          <w:b/>
          <w:color w:val="EE0000"/>
        </w:rPr>
        <w:t>n</w:t>
      </w:r>
      <w:r w:rsidR="00EB6AA2" w:rsidRPr="00AC41FD">
        <w:rPr>
          <w:rFonts w:ascii="Arial" w:eastAsia="Times New Roman" w:hAnsi="Arial" w:cs="Arial"/>
          <w:b/>
          <w:color w:val="EE0000"/>
        </w:rPr>
        <w:t>umeração</w:t>
      </w:r>
      <w:r w:rsidR="005131AC" w:rsidRPr="00AC41FD">
        <w:rPr>
          <w:rFonts w:ascii="Arial" w:eastAsia="Times New Roman" w:hAnsi="Arial" w:cs="Arial"/>
          <w:b/>
          <w:color w:val="EE0000"/>
        </w:rPr>
        <w:t xml:space="preserve"> previamente</w:t>
      </w:r>
      <w:r w:rsidR="00EB6AA2" w:rsidRPr="00AC41FD">
        <w:rPr>
          <w:rFonts w:ascii="Arial" w:eastAsia="Times New Roman" w:hAnsi="Arial" w:cs="Arial"/>
          <w:b/>
          <w:color w:val="EE0000"/>
        </w:rPr>
        <w:t xml:space="preserve"> à CETUC</w:t>
      </w:r>
      <w:r w:rsidR="00D4395B" w:rsidRPr="00AC41FD">
        <w:rPr>
          <w:rFonts w:ascii="Arial" w:eastAsia="Times New Roman" w:hAnsi="Arial" w:cs="Arial"/>
          <w:b/>
          <w:color w:val="EE0000"/>
        </w:rPr>
        <w:t xml:space="preserve"> (Manual anexo)</w:t>
      </w:r>
    </w:p>
    <w:p w14:paraId="3DF45B96" w14:textId="77777777" w:rsidR="006119A2" w:rsidRDefault="006119A2">
      <w:pPr>
        <w:spacing w:after="120" w:line="360" w:lineRule="auto"/>
        <w:jc w:val="both"/>
        <w:rPr>
          <w:rFonts w:ascii="Arial" w:eastAsia="Times New Roman" w:hAnsi="Arial" w:cs="Arial"/>
          <w:b/>
        </w:rPr>
      </w:pPr>
    </w:p>
    <w:p w14:paraId="119CD15A" w14:textId="77777777" w:rsidR="009A7B73" w:rsidRPr="00AC41FD" w:rsidRDefault="009A7B73">
      <w:pPr>
        <w:spacing w:after="120" w:line="360" w:lineRule="auto"/>
        <w:jc w:val="both"/>
        <w:rPr>
          <w:rFonts w:ascii="Arial" w:eastAsia="Times New Roman" w:hAnsi="Arial" w:cs="Arial"/>
          <w:b/>
        </w:rPr>
      </w:pPr>
    </w:p>
    <w:p w14:paraId="55A918D1" w14:textId="10376612" w:rsidR="00DB183C" w:rsidRPr="00AC41FD" w:rsidRDefault="00186A36" w:rsidP="00DB183C">
      <w:pPr>
        <w:pBdr>
          <w:top w:val="nil"/>
          <w:left w:val="nil"/>
          <w:bottom w:val="nil"/>
          <w:right w:val="nil"/>
          <w:between w:val="nil"/>
        </w:pBdr>
        <w:spacing w:after="80" w:line="360" w:lineRule="auto"/>
        <w:ind w:left="1701"/>
        <w:jc w:val="both"/>
        <w:rPr>
          <w:rFonts w:ascii="Arial" w:eastAsia="Times New Roman" w:hAnsi="Arial" w:cs="Arial"/>
          <w:b/>
          <w:color w:val="000000" w:themeColor="text1"/>
        </w:rPr>
      </w:pPr>
      <w:r w:rsidRPr="00AC41FD">
        <w:rPr>
          <w:rFonts w:ascii="Arial" w:eastAsia="Times New Roman" w:hAnsi="Arial" w:cs="Arial"/>
          <w:b/>
          <w:color w:val="000000" w:themeColor="text1"/>
        </w:rPr>
        <w:t xml:space="preserve">EMENTA: </w:t>
      </w:r>
      <w:r w:rsidRPr="00AC41FD">
        <w:rPr>
          <w:rFonts w:ascii="Arial" w:eastAsia="Times New Roman" w:hAnsi="Arial" w:cs="Arial"/>
          <w:bCs/>
          <w:color w:val="000000" w:themeColor="text1"/>
        </w:rPr>
        <w:t xml:space="preserve">Direito à saúde. Garantia constitucional de prioridade absoluta à criança e ao adolescente. Direitos das pessoas com deficiência. Necessidade de implementação de serviços de atenção multidisciplinar para diagnóstico, acompanhamento e tratamento do Transtorno do Espectro Autista (TEA) no âmbito do Município de </w:t>
      </w:r>
      <w:r w:rsidRPr="00AC41FD">
        <w:rPr>
          <w:rFonts w:ascii="Arial" w:eastAsia="Times New Roman" w:hAnsi="Arial" w:cs="Arial"/>
          <w:bCs/>
          <w:color w:val="EE0000"/>
        </w:rPr>
        <w:t>XXXXXXXX/MG</w:t>
      </w:r>
      <w:r w:rsidRPr="00AC41FD">
        <w:rPr>
          <w:rFonts w:ascii="Arial" w:eastAsia="Times New Roman" w:hAnsi="Arial" w:cs="Arial"/>
          <w:bCs/>
          <w:color w:val="000000" w:themeColor="text1"/>
        </w:rPr>
        <w:t xml:space="preserve">. </w:t>
      </w:r>
      <w:r w:rsidR="00DF4028" w:rsidRPr="00AC41FD">
        <w:rPr>
          <w:rFonts w:ascii="Arial" w:eastAsia="Times New Roman" w:hAnsi="Arial" w:cs="Arial"/>
          <w:bCs/>
          <w:color w:val="000000" w:themeColor="text1"/>
        </w:rPr>
        <w:t>Lei Federal nº 12.764/2012, que institui a Política Nacional de Proteção dos Direitos da Pessoa com TEA</w:t>
      </w:r>
      <w:r w:rsidR="0063132C" w:rsidRPr="00AC41FD">
        <w:rPr>
          <w:rFonts w:ascii="Arial" w:eastAsia="Times New Roman" w:hAnsi="Arial" w:cs="Arial"/>
          <w:bCs/>
          <w:color w:val="000000" w:themeColor="text1"/>
        </w:rPr>
        <w:t xml:space="preserve"> e estabelece direito à atenção integral à saúde, </w:t>
      </w:r>
      <w:r w:rsidR="007653D3" w:rsidRPr="00AC41FD">
        <w:rPr>
          <w:rFonts w:ascii="Arial" w:eastAsia="Times New Roman" w:hAnsi="Arial" w:cs="Arial"/>
          <w:bCs/>
          <w:color w:val="000000" w:themeColor="text1"/>
        </w:rPr>
        <w:t>a</w:t>
      </w:r>
      <w:r w:rsidR="0063132C" w:rsidRPr="00AC41FD">
        <w:rPr>
          <w:rFonts w:ascii="Arial" w:eastAsia="Times New Roman" w:hAnsi="Arial" w:cs="Arial"/>
          <w:bCs/>
          <w:color w:val="000000" w:themeColor="text1"/>
        </w:rPr>
        <w:t>o diagnóstico precoce</w:t>
      </w:r>
      <w:r w:rsidR="007653D3" w:rsidRPr="00AC41FD">
        <w:rPr>
          <w:rFonts w:ascii="Arial" w:eastAsia="Times New Roman" w:hAnsi="Arial" w:cs="Arial"/>
          <w:bCs/>
          <w:color w:val="000000" w:themeColor="text1"/>
        </w:rPr>
        <w:t xml:space="preserve"> e</w:t>
      </w:r>
      <w:r w:rsidR="0063132C" w:rsidRPr="00AC41FD">
        <w:rPr>
          <w:rFonts w:ascii="Arial" w:eastAsia="Times New Roman" w:hAnsi="Arial" w:cs="Arial"/>
          <w:bCs/>
          <w:color w:val="000000" w:themeColor="text1"/>
        </w:rPr>
        <w:t xml:space="preserve"> </w:t>
      </w:r>
      <w:r w:rsidR="007653D3" w:rsidRPr="00AC41FD">
        <w:rPr>
          <w:rFonts w:ascii="Arial" w:eastAsia="Times New Roman" w:hAnsi="Arial" w:cs="Arial"/>
          <w:bCs/>
          <w:color w:val="000000" w:themeColor="text1"/>
        </w:rPr>
        <w:t>a</w:t>
      </w:r>
      <w:r w:rsidR="0063132C" w:rsidRPr="00AC41FD">
        <w:rPr>
          <w:rFonts w:ascii="Arial" w:eastAsia="Times New Roman" w:hAnsi="Arial" w:cs="Arial"/>
          <w:bCs/>
          <w:color w:val="000000" w:themeColor="text1"/>
        </w:rPr>
        <w:t>o atendimento multiprofissional</w:t>
      </w:r>
      <w:r w:rsidR="007653D3" w:rsidRPr="00AC41FD">
        <w:rPr>
          <w:rFonts w:ascii="Arial" w:eastAsia="Times New Roman" w:hAnsi="Arial" w:cs="Arial"/>
          <w:bCs/>
          <w:color w:val="000000" w:themeColor="text1"/>
        </w:rPr>
        <w:t xml:space="preserve">. </w:t>
      </w:r>
      <w:r w:rsidRPr="00AC41FD">
        <w:rPr>
          <w:rFonts w:ascii="Arial" w:eastAsia="Times New Roman" w:hAnsi="Arial" w:cs="Arial"/>
          <w:bCs/>
          <w:color w:val="000000" w:themeColor="text1"/>
        </w:rPr>
        <w:t>Inércia no cumprimento das determinações legais. Omissão inconstitucional, inconvencional e ilegal. Hipótese de intervenção judicial em políticas públicas deficitárias e violadoras de direitos fundamentais.</w:t>
      </w:r>
    </w:p>
    <w:p w14:paraId="371AE8FD" w14:textId="77777777" w:rsidR="00186A36" w:rsidRPr="00AC41FD" w:rsidRDefault="00186A36" w:rsidP="00DB183C">
      <w:pPr>
        <w:pBdr>
          <w:top w:val="nil"/>
          <w:left w:val="nil"/>
          <w:bottom w:val="nil"/>
          <w:right w:val="nil"/>
          <w:between w:val="nil"/>
        </w:pBdr>
        <w:spacing w:after="80" w:line="360" w:lineRule="auto"/>
        <w:ind w:left="1701"/>
        <w:jc w:val="both"/>
        <w:rPr>
          <w:rFonts w:ascii="Arial" w:eastAsia="Times New Roman" w:hAnsi="Arial" w:cs="Arial"/>
          <w:b/>
          <w:color w:val="000000" w:themeColor="text1"/>
        </w:rPr>
      </w:pPr>
    </w:p>
    <w:p w14:paraId="75028436" w14:textId="6B9465DA" w:rsidR="00A760FA" w:rsidRDefault="002B5DCC" w:rsidP="00105898">
      <w:pPr>
        <w:spacing w:before="240" w:after="240" w:line="360" w:lineRule="auto"/>
        <w:jc w:val="both"/>
        <w:rPr>
          <w:rFonts w:ascii="Arial" w:eastAsia="Times New Roman" w:hAnsi="Arial" w:cs="Arial"/>
        </w:rPr>
      </w:pPr>
      <w:r w:rsidRPr="002B5DCC">
        <w:rPr>
          <w:rFonts w:ascii="Arial" w:eastAsia="Times New Roman" w:hAnsi="Arial" w:cs="Arial"/>
        </w:rPr>
        <w:t xml:space="preserve">A </w:t>
      </w:r>
      <w:r w:rsidRPr="002B5DCC">
        <w:rPr>
          <w:rFonts w:ascii="Arial" w:eastAsia="Times New Roman" w:hAnsi="Arial" w:cs="Arial"/>
          <w:b/>
          <w:bCs/>
        </w:rPr>
        <w:t>Defensoria Pública de Minas Gerais</w:t>
      </w:r>
      <w:r w:rsidRPr="002B5DCC">
        <w:rPr>
          <w:rFonts w:ascii="Arial" w:eastAsia="Times New Roman" w:hAnsi="Arial" w:cs="Arial"/>
        </w:rPr>
        <w:t xml:space="preserve">, no exercício das atribuições constitucionais e legais que lhe são conferidas pelo art. 5°, LXXIV e art. 134, ambos da Constituição da República Federativa do Brasil, c/c art. 129, da Constituição do Estado de Minas Gerais, c/c art. 1º e art. 4°, I, II, III, VII, VIII, X, XI, XVII e XVIII, da Lei Complementar Federal nº 80/94, c/c art. 5°, I e IX, da Lei Complementar Estadual 65/2003, e demais dispositivos pertinentes à espécie, nos termos da Deliberação nº 211/2021, do Conselho Superior da Defensoria Pública de Minas Gerais, pelos órgãos signatários, instaura o presente Procedimento Administrativo de Tutela Coletiva (PTAC), para que a Administração Pública do Município de </w:t>
      </w:r>
      <w:r w:rsidRPr="002B5DCC">
        <w:rPr>
          <w:rFonts w:ascii="Arial" w:eastAsia="Times New Roman" w:hAnsi="Arial" w:cs="Arial"/>
          <w:color w:val="EE0000"/>
        </w:rPr>
        <w:t xml:space="preserve">XXXXXXXXX/MG </w:t>
      </w:r>
      <w:r w:rsidRPr="002B5DCC">
        <w:rPr>
          <w:rFonts w:ascii="Arial" w:eastAsia="Times New Roman" w:hAnsi="Arial" w:cs="Arial"/>
        </w:rPr>
        <w:t>implemente os serviços de atendimento multidisciplinar especializado para o diagnóstico, acompanhamento e tratamento de crianças, adolescentes, jovens e adultos com Transtorno do Espectro Autista (TEA), assegurando o pleno exercício do direito fundamental à saúde e à dignidade hum</w:t>
      </w:r>
      <w:r w:rsidR="00E52355">
        <w:rPr>
          <w:rFonts w:ascii="Arial" w:eastAsia="Times New Roman" w:hAnsi="Arial" w:cs="Arial"/>
        </w:rPr>
        <w:t xml:space="preserve">ana. </w:t>
      </w:r>
    </w:p>
    <w:p w14:paraId="3DF45B9F" w14:textId="17807A9D" w:rsidR="007C526B" w:rsidRPr="00AC41FD" w:rsidRDefault="00C30C38" w:rsidP="00105898">
      <w:pPr>
        <w:shd w:val="clear" w:color="auto" w:fill="F2F2F2" w:themeFill="background1" w:themeFillShade="F2"/>
        <w:spacing w:before="240" w:after="240" w:line="360" w:lineRule="auto"/>
        <w:jc w:val="both"/>
        <w:rPr>
          <w:rFonts w:ascii="Arial" w:eastAsia="Times New Roman" w:hAnsi="Arial" w:cs="Arial"/>
          <w:smallCaps/>
          <w:color w:val="000000"/>
        </w:rPr>
      </w:pPr>
      <w:r w:rsidRPr="00AC41FD">
        <w:rPr>
          <w:rFonts w:ascii="Arial" w:eastAsia="Times New Roman" w:hAnsi="Arial" w:cs="Arial"/>
          <w:b/>
          <w:smallCaps/>
          <w:color w:val="000000"/>
        </w:rPr>
        <w:lastRenderedPageBreak/>
        <w:t>Síntese dos Fatos:</w:t>
      </w:r>
    </w:p>
    <w:p w14:paraId="5CB99F96" w14:textId="296FBA14" w:rsidR="003B3FB5" w:rsidRPr="00AC41FD" w:rsidRDefault="00780BD9" w:rsidP="118EC61E">
      <w:pPr>
        <w:shd w:val="clear" w:color="auto" w:fill="FFFFFF" w:themeFill="background1"/>
        <w:spacing w:before="240" w:after="240" w:line="360" w:lineRule="auto"/>
        <w:jc w:val="both"/>
        <w:rPr>
          <w:rFonts w:ascii="Arial" w:eastAsia="Times New Roman" w:hAnsi="Arial" w:cs="Arial"/>
          <w:lang w:eastAsia="ar-SA"/>
        </w:rPr>
      </w:pPr>
      <w:r w:rsidRPr="118EC61E">
        <w:rPr>
          <w:rFonts w:ascii="Arial" w:eastAsia="Times New Roman" w:hAnsi="Arial" w:cs="Arial"/>
          <w:lang w:eastAsia="ar-SA"/>
        </w:rPr>
        <w:t xml:space="preserve">A Defensoria Pública, por meio de atendimentos e representações colhidas em sua unidade na comarca de </w:t>
      </w:r>
      <w:r w:rsidR="00D54A75" w:rsidRPr="118EC61E">
        <w:rPr>
          <w:rFonts w:ascii="Arial" w:eastAsia="Times New Roman" w:hAnsi="Arial" w:cs="Arial"/>
          <w:color w:val="EE0000"/>
          <w:lang w:eastAsia="ar-SA"/>
        </w:rPr>
        <w:t>XXXXXXXXXX</w:t>
      </w:r>
      <w:r w:rsidRPr="118EC61E">
        <w:rPr>
          <w:rFonts w:ascii="Arial" w:eastAsia="Times New Roman" w:hAnsi="Arial" w:cs="Arial"/>
          <w:color w:val="EE0000"/>
          <w:lang w:eastAsia="ar-SA"/>
        </w:rPr>
        <w:t>/MG</w:t>
      </w:r>
      <w:r w:rsidRPr="118EC61E">
        <w:rPr>
          <w:rFonts w:ascii="Arial" w:eastAsia="Times New Roman" w:hAnsi="Arial" w:cs="Arial"/>
          <w:lang w:eastAsia="ar-SA"/>
        </w:rPr>
        <w:t xml:space="preserve">, constatou a ausência de estrutura pública municipal adequada ao diagnóstico e ao acompanhamento multidisciplinar de crianças e adolescentes, jovens e adultos com Transtorno do Espectro Autista (TEA). </w:t>
      </w:r>
      <w:r w:rsidR="4B5C02BF" w:rsidRPr="118EC61E">
        <w:rPr>
          <w:rFonts w:ascii="Arial" w:eastAsia="Times New Roman" w:hAnsi="Arial" w:cs="Arial"/>
          <w:lang w:eastAsia="ar-SA"/>
        </w:rPr>
        <w:t xml:space="preserve">É importante destacar que a Lei nº 12.764/2012, que institui a Política Nacional de Proteção dos Direitos da Pessoa com Transtorno do Espectro Autista tem como uma </w:t>
      </w:r>
      <w:r w:rsidR="461A2FAD" w:rsidRPr="118EC61E">
        <w:rPr>
          <w:rFonts w:ascii="Arial" w:eastAsia="Times New Roman" w:hAnsi="Arial" w:cs="Arial"/>
          <w:lang w:eastAsia="ar-SA"/>
        </w:rPr>
        <w:t>de suas</w:t>
      </w:r>
      <w:r w:rsidR="4B5C02BF" w:rsidRPr="118EC61E">
        <w:rPr>
          <w:rFonts w:ascii="Arial" w:eastAsia="Times New Roman" w:hAnsi="Arial" w:cs="Arial"/>
          <w:lang w:eastAsia="ar-SA"/>
        </w:rPr>
        <w:t xml:space="preserve"> principais diretrizes o acesso a ações e serviços de saúde, o que engloba o atendimento multiprofissional. </w:t>
      </w:r>
    </w:p>
    <w:p w14:paraId="22960461" w14:textId="6B390182" w:rsidR="003B3FB5" w:rsidRPr="00AC41FD" w:rsidRDefault="3D6A0EE5" w:rsidP="118EC61E">
      <w:pPr>
        <w:shd w:val="clear" w:color="auto" w:fill="FFFFFF" w:themeFill="background1"/>
        <w:spacing w:before="240" w:after="240" w:line="360" w:lineRule="auto"/>
        <w:jc w:val="both"/>
        <w:rPr>
          <w:rFonts w:ascii="Arial" w:eastAsia="Times New Roman" w:hAnsi="Arial" w:cs="Arial"/>
          <w:lang w:eastAsia="ar-SA"/>
        </w:rPr>
      </w:pPr>
      <w:r w:rsidRPr="118EC61E">
        <w:rPr>
          <w:rFonts w:ascii="Arial" w:eastAsia="Times New Roman" w:hAnsi="Arial" w:cs="Arial"/>
          <w:lang w:eastAsia="ar-SA"/>
        </w:rPr>
        <w:t>Nesse sentido, ressai a responsabilidade</w:t>
      </w:r>
      <w:r w:rsidR="4B5C02BF" w:rsidRPr="118EC61E">
        <w:rPr>
          <w:rFonts w:ascii="Arial" w:eastAsia="Times New Roman" w:hAnsi="Arial" w:cs="Arial"/>
          <w:lang w:eastAsia="ar-SA"/>
        </w:rPr>
        <w:t xml:space="preserve"> </w:t>
      </w:r>
      <w:r w:rsidR="1255DA26" w:rsidRPr="118EC61E">
        <w:rPr>
          <w:rFonts w:ascii="Arial" w:eastAsia="Times New Roman" w:hAnsi="Arial" w:cs="Arial"/>
          <w:lang w:eastAsia="ar-SA"/>
        </w:rPr>
        <w:t>d</w:t>
      </w:r>
      <w:r w:rsidR="4B5C02BF" w:rsidRPr="118EC61E">
        <w:rPr>
          <w:rFonts w:ascii="Arial" w:eastAsia="Times New Roman" w:hAnsi="Arial" w:cs="Arial"/>
          <w:lang w:eastAsia="ar-SA"/>
        </w:rPr>
        <w:t>os municípios</w:t>
      </w:r>
      <w:r w:rsidR="2453AEFB" w:rsidRPr="118EC61E">
        <w:rPr>
          <w:rFonts w:ascii="Arial" w:eastAsia="Times New Roman" w:hAnsi="Arial" w:cs="Arial"/>
          <w:lang w:eastAsia="ar-SA"/>
        </w:rPr>
        <w:t xml:space="preserve"> quanto ao oferecimento desses</w:t>
      </w:r>
      <w:r w:rsidR="4B5C02BF" w:rsidRPr="118EC61E">
        <w:rPr>
          <w:rFonts w:ascii="Arial" w:eastAsia="Times New Roman" w:hAnsi="Arial" w:cs="Arial"/>
          <w:lang w:eastAsia="ar-SA"/>
        </w:rPr>
        <w:t xml:space="preserve"> serviços, </w:t>
      </w:r>
      <w:r w:rsidR="6BBF3DDC" w:rsidRPr="118EC61E">
        <w:rPr>
          <w:rFonts w:ascii="Arial" w:eastAsia="Times New Roman" w:hAnsi="Arial" w:cs="Arial"/>
          <w:lang w:eastAsia="ar-SA"/>
        </w:rPr>
        <w:t>com especial enfoque no</w:t>
      </w:r>
      <w:r w:rsidR="4B5C02BF" w:rsidRPr="118EC61E">
        <w:rPr>
          <w:rFonts w:ascii="Arial" w:eastAsia="Times New Roman" w:hAnsi="Arial" w:cs="Arial"/>
          <w:lang w:eastAsia="ar-SA"/>
        </w:rPr>
        <w:t xml:space="preserve"> diagnóstico precoce</w:t>
      </w:r>
      <w:r w:rsidR="3E027056" w:rsidRPr="118EC61E">
        <w:rPr>
          <w:rFonts w:ascii="Arial" w:eastAsia="Times New Roman" w:hAnsi="Arial" w:cs="Arial"/>
          <w:lang w:eastAsia="ar-SA"/>
        </w:rPr>
        <w:t xml:space="preserve">, </w:t>
      </w:r>
      <w:r w:rsidR="4B5C02BF" w:rsidRPr="118EC61E">
        <w:rPr>
          <w:rFonts w:ascii="Arial" w:eastAsia="Times New Roman" w:hAnsi="Arial" w:cs="Arial"/>
          <w:lang w:eastAsia="ar-SA"/>
        </w:rPr>
        <w:t>terapias</w:t>
      </w:r>
      <w:r w:rsidR="529C3FB0" w:rsidRPr="118EC61E">
        <w:rPr>
          <w:rFonts w:ascii="Arial" w:eastAsia="Times New Roman" w:hAnsi="Arial" w:cs="Arial"/>
          <w:lang w:eastAsia="ar-SA"/>
        </w:rPr>
        <w:t xml:space="preserve"> e</w:t>
      </w:r>
      <w:r w:rsidR="4B5C02BF" w:rsidRPr="118EC61E">
        <w:rPr>
          <w:rFonts w:ascii="Arial" w:eastAsia="Times New Roman" w:hAnsi="Arial" w:cs="Arial"/>
          <w:lang w:eastAsia="ar-SA"/>
        </w:rPr>
        <w:t xml:space="preserve"> educação </w:t>
      </w:r>
      <w:r w:rsidR="62CBF036" w:rsidRPr="118EC61E">
        <w:rPr>
          <w:rFonts w:ascii="Arial" w:eastAsia="Times New Roman" w:hAnsi="Arial" w:cs="Arial"/>
          <w:lang w:eastAsia="ar-SA"/>
        </w:rPr>
        <w:t>com o devido suporte, bem como</w:t>
      </w:r>
      <w:r w:rsidR="4B5C02BF" w:rsidRPr="118EC61E">
        <w:rPr>
          <w:rFonts w:ascii="Arial" w:eastAsia="Times New Roman" w:hAnsi="Arial" w:cs="Arial"/>
          <w:lang w:eastAsia="ar-SA"/>
        </w:rPr>
        <w:t xml:space="preserve"> assistência social, geralmente articulando as ações em um regime de colaboração com os estados e a União. Essa responsabilidade</w:t>
      </w:r>
      <w:r w:rsidR="1AB431B0" w:rsidRPr="118EC61E">
        <w:rPr>
          <w:rFonts w:ascii="Arial" w:eastAsia="Times New Roman" w:hAnsi="Arial" w:cs="Arial"/>
          <w:lang w:eastAsia="ar-SA"/>
        </w:rPr>
        <w:t xml:space="preserve">, quando devidamente atendida, </w:t>
      </w:r>
      <w:r w:rsidR="4B5C02BF" w:rsidRPr="118EC61E">
        <w:rPr>
          <w:rFonts w:ascii="Arial" w:eastAsia="Times New Roman" w:hAnsi="Arial" w:cs="Arial"/>
          <w:lang w:eastAsia="ar-SA"/>
        </w:rPr>
        <w:t xml:space="preserve">garante que a pessoa com TEA receba o suporte necessário em seu território, promovendo sua autonomia e inclusão social através de uma abordagem coordenada e integral. </w:t>
      </w:r>
    </w:p>
    <w:p w14:paraId="46F51D1A" w14:textId="10C3CC2D" w:rsidR="003B3FB5" w:rsidRPr="00AC41FD" w:rsidRDefault="40A5A4C5" w:rsidP="118EC61E">
      <w:pPr>
        <w:shd w:val="clear" w:color="auto" w:fill="FFFFFF" w:themeFill="background1"/>
        <w:spacing w:before="240" w:after="240" w:line="360" w:lineRule="auto"/>
        <w:rPr>
          <w:rFonts w:ascii="Arial" w:eastAsia="Times New Roman" w:hAnsi="Arial" w:cs="Arial"/>
          <w:lang w:eastAsia="ar-SA"/>
        </w:rPr>
      </w:pPr>
      <w:r w:rsidRPr="118EC61E">
        <w:rPr>
          <w:rFonts w:ascii="Arial" w:eastAsia="Times New Roman" w:hAnsi="Arial" w:cs="Arial"/>
          <w:lang w:eastAsia="ar-SA"/>
        </w:rPr>
        <w:t>Ocorre que, inobstante</w:t>
      </w:r>
      <w:r w:rsidR="00780BD9" w:rsidRPr="118EC61E">
        <w:rPr>
          <w:rFonts w:ascii="Arial" w:eastAsia="Times New Roman" w:hAnsi="Arial" w:cs="Arial"/>
          <w:lang w:eastAsia="ar-SA"/>
        </w:rPr>
        <w:t xml:space="preserve"> a relevância do tema, observa-se déficit de políticas públicas </w:t>
      </w:r>
      <w:r w:rsidR="40E03B11" w:rsidRPr="118EC61E">
        <w:rPr>
          <w:rFonts w:ascii="Arial" w:eastAsia="Times New Roman" w:hAnsi="Arial" w:cs="Arial"/>
          <w:lang w:eastAsia="ar-SA"/>
        </w:rPr>
        <w:t>no Município</w:t>
      </w:r>
      <w:r w:rsidR="00780BD9" w:rsidRPr="118EC61E">
        <w:rPr>
          <w:rFonts w:ascii="Arial" w:eastAsia="Times New Roman" w:hAnsi="Arial" w:cs="Arial"/>
          <w:lang w:eastAsia="ar-SA"/>
        </w:rPr>
        <w:t xml:space="preserve"> voltadas à garantia desse atendimento especializado,</w:t>
      </w:r>
      <w:r w:rsidR="2EEAAB0B" w:rsidRPr="118EC61E">
        <w:rPr>
          <w:rFonts w:ascii="Arial" w:eastAsia="Times New Roman" w:hAnsi="Arial" w:cs="Arial"/>
          <w:lang w:eastAsia="ar-SA"/>
        </w:rPr>
        <w:t xml:space="preserve"> </w:t>
      </w:r>
      <w:r w:rsidR="00780BD9" w:rsidRPr="118EC61E">
        <w:rPr>
          <w:rFonts w:ascii="Arial" w:eastAsia="Times New Roman" w:hAnsi="Arial" w:cs="Arial"/>
          <w:lang w:eastAsia="ar-SA"/>
        </w:rPr>
        <w:t xml:space="preserve">em violação </w:t>
      </w:r>
      <w:r w:rsidR="6CEE6FCF" w:rsidRPr="118EC61E">
        <w:rPr>
          <w:rFonts w:ascii="Arial" w:eastAsia="Times New Roman" w:hAnsi="Arial" w:cs="Arial"/>
          <w:lang w:eastAsia="ar-SA"/>
        </w:rPr>
        <w:t xml:space="preserve">à legislação mencionada e </w:t>
      </w:r>
      <w:r w:rsidR="00780BD9" w:rsidRPr="118EC61E">
        <w:rPr>
          <w:rFonts w:ascii="Arial" w:eastAsia="Times New Roman" w:hAnsi="Arial" w:cs="Arial"/>
          <w:lang w:eastAsia="ar-SA"/>
        </w:rPr>
        <w:t xml:space="preserve">aos princípios constitucionais da dignidade da pessoa humana, da prioridade absoluta da criança e do adolescente, do direito à saúde e do direito de inclusão das pessoas com deficiência. </w:t>
      </w:r>
    </w:p>
    <w:p w14:paraId="3DF45BA3" w14:textId="4FB07A7B" w:rsidR="007C526B" w:rsidRPr="00AC41FD" w:rsidRDefault="00B508E2" w:rsidP="00105898">
      <w:pPr>
        <w:shd w:val="clear" w:color="auto" w:fill="F2F2F2" w:themeFill="background1" w:themeFillShade="F2"/>
        <w:spacing w:before="240" w:after="240" w:line="360" w:lineRule="auto"/>
        <w:jc w:val="both"/>
        <w:rPr>
          <w:rFonts w:ascii="Arial" w:eastAsia="Times New Roman" w:hAnsi="Arial" w:cs="Arial"/>
          <w:color w:val="000000"/>
        </w:rPr>
      </w:pPr>
      <w:r w:rsidRPr="00AC41FD">
        <w:rPr>
          <w:rFonts w:ascii="Arial" w:eastAsia="Times New Roman" w:hAnsi="Arial" w:cs="Arial"/>
          <w:b/>
          <w:smallCaps/>
          <w:color w:val="000000"/>
        </w:rPr>
        <w:t>Envolvidos</w:t>
      </w:r>
      <w:r w:rsidR="00BE4420" w:rsidRPr="00AC41FD">
        <w:rPr>
          <w:rFonts w:ascii="Arial" w:eastAsia="Times New Roman" w:hAnsi="Arial" w:cs="Arial"/>
          <w:color w:val="000000"/>
        </w:rPr>
        <w:t>:</w:t>
      </w:r>
    </w:p>
    <w:p w14:paraId="3DF45BA5" w14:textId="6423DF30" w:rsidR="007C526B" w:rsidRPr="00AC41FD" w:rsidRDefault="00BE4420" w:rsidP="00105898">
      <w:pPr>
        <w:spacing w:before="240" w:after="240" w:line="360" w:lineRule="auto"/>
        <w:jc w:val="both"/>
        <w:rPr>
          <w:rFonts w:ascii="Arial" w:eastAsia="Times New Roman" w:hAnsi="Arial" w:cs="Arial"/>
          <w:color w:val="EE0000"/>
        </w:rPr>
      </w:pPr>
      <w:r w:rsidRPr="00AC41FD">
        <w:rPr>
          <w:rFonts w:ascii="Arial" w:eastAsia="Times New Roman" w:hAnsi="Arial" w:cs="Arial"/>
          <w:color w:val="000000"/>
        </w:rPr>
        <w:t>1.</w:t>
      </w:r>
      <w:r w:rsidR="00A359EB" w:rsidRPr="00AC41FD">
        <w:rPr>
          <w:rFonts w:ascii="Arial" w:eastAsia="Times New Roman" w:hAnsi="Arial" w:cs="Arial"/>
          <w:color w:val="000000"/>
        </w:rPr>
        <w:t xml:space="preserve"> </w:t>
      </w:r>
      <w:r w:rsidR="00B450E9" w:rsidRPr="00AC41FD">
        <w:rPr>
          <w:rFonts w:ascii="Arial" w:eastAsia="Times New Roman" w:hAnsi="Arial" w:cs="Arial"/>
          <w:color w:val="EE0000"/>
        </w:rPr>
        <w:t>Município de XXX</w:t>
      </w:r>
      <w:r w:rsidR="00935E31" w:rsidRPr="00AC41FD">
        <w:rPr>
          <w:rFonts w:ascii="Arial" w:eastAsia="Times New Roman" w:hAnsi="Arial" w:cs="Arial"/>
          <w:color w:val="EE0000"/>
        </w:rPr>
        <w:t>X</w:t>
      </w:r>
    </w:p>
    <w:p w14:paraId="46ABEF7F" w14:textId="7EAE84E4" w:rsidR="009F6FBB" w:rsidRPr="00AC41FD" w:rsidRDefault="00DE38BE" w:rsidP="00105898">
      <w:pPr>
        <w:spacing w:before="240" w:after="240" w:line="360" w:lineRule="auto"/>
        <w:jc w:val="both"/>
        <w:rPr>
          <w:rFonts w:ascii="Arial" w:eastAsia="Times New Roman" w:hAnsi="Arial" w:cs="Arial"/>
          <w:color w:val="000000"/>
        </w:rPr>
      </w:pPr>
      <w:r w:rsidRPr="00AC41FD">
        <w:rPr>
          <w:rFonts w:ascii="Arial" w:eastAsia="Times New Roman" w:hAnsi="Arial" w:cs="Arial"/>
          <w:color w:val="000000"/>
        </w:rPr>
        <w:t xml:space="preserve">2. </w:t>
      </w:r>
      <w:r w:rsidR="003B3FB5" w:rsidRPr="00AC41FD">
        <w:rPr>
          <w:rFonts w:ascii="Arial" w:eastAsia="Times New Roman" w:hAnsi="Arial" w:cs="Arial"/>
          <w:color w:val="EE0000"/>
        </w:rPr>
        <w:t>Secretaria Municipal de Saúde</w:t>
      </w:r>
      <w:r w:rsidRPr="00AC41FD">
        <w:rPr>
          <w:rFonts w:ascii="Arial" w:eastAsia="Times New Roman" w:hAnsi="Arial" w:cs="Arial"/>
          <w:color w:val="EE0000"/>
        </w:rPr>
        <w:t xml:space="preserve"> do </w:t>
      </w:r>
      <w:r w:rsidR="00B450E9" w:rsidRPr="00AC41FD">
        <w:rPr>
          <w:rFonts w:ascii="Arial" w:eastAsia="Times New Roman" w:hAnsi="Arial" w:cs="Arial"/>
          <w:color w:val="EE0000"/>
        </w:rPr>
        <w:t>Município de XXX</w:t>
      </w:r>
      <w:r w:rsidR="00935E31" w:rsidRPr="00AC41FD">
        <w:rPr>
          <w:rFonts w:ascii="Arial" w:eastAsia="Times New Roman" w:hAnsi="Arial" w:cs="Arial"/>
          <w:color w:val="EE0000"/>
        </w:rPr>
        <w:t>X</w:t>
      </w:r>
    </w:p>
    <w:p w14:paraId="6F3FA53F" w14:textId="435CEF97" w:rsidR="009F6FBB" w:rsidRPr="00AC41FD" w:rsidRDefault="009F6FBB" w:rsidP="00105898">
      <w:pPr>
        <w:shd w:val="clear" w:color="auto" w:fill="F2F2F2" w:themeFill="background1" w:themeFillShade="F2"/>
        <w:spacing w:before="240" w:after="240" w:line="360" w:lineRule="auto"/>
        <w:jc w:val="both"/>
        <w:rPr>
          <w:rFonts w:ascii="Arial" w:eastAsia="Times New Roman" w:hAnsi="Arial" w:cs="Arial"/>
          <w:b/>
          <w:bCs/>
          <w:smallCaps/>
        </w:rPr>
      </w:pPr>
      <w:r w:rsidRPr="00AC41FD">
        <w:rPr>
          <w:rFonts w:ascii="Arial" w:eastAsia="Times New Roman" w:hAnsi="Arial" w:cs="Arial"/>
          <w:b/>
          <w:bCs/>
          <w:smallCaps/>
        </w:rPr>
        <w:t>Considerações Normativas:</w:t>
      </w:r>
    </w:p>
    <w:p w14:paraId="631B8D03" w14:textId="77777777" w:rsidR="00A83B84" w:rsidRPr="00A83B84" w:rsidRDefault="00A83B84" w:rsidP="00105898">
      <w:pPr>
        <w:spacing w:before="240" w:after="240" w:line="360" w:lineRule="auto"/>
        <w:jc w:val="both"/>
        <w:rPr>
          <w:rFonts w:ascii="Arial" w:eastAsia="Times New Roman" w:hAnsi="Arial" w:cs="Arial"/>
          <w:bCs/>
        </w:rPr>
      </w:pPr>
      <w:r w:rsidRPr="00A83B84">
        <w:rPr>
          <w:rFonts w:ascii="Arial" w:eastAsia="Times New Roman" w:hAnsi="Arial" w:cs="Arial"/>
          <w:b/>
        </w:rPr>
        <w:t xml:space="preserve">CONSIDERANDO </w:t>
      </w:r>
      <w:r w:rsidRPr="00A83B84">
        <w:rPr>
          <w:rFonts w:ascii="Arial" w:eastAsia="Times New Roman" w:hAnsi="Arial" w:cs="Arial"/>
          <w:bCs/>
        </w:rPr>
        <w:t xml:space="preserve">que a Defensoria Pública é instituição permanente, essencial à função jurisdicional do Estado, incumbindo-lhe, como expressão e instrumento do regime democrático, fundamentalmente, a orientação jurídica, a promoção dos direitos </w:t>
      </w:r>
      <w:r w:rsidRPr="00A83B84">
        <w:rPr>
          <w:rFonts w:ascii="Arial" w:eastAsia="Times New Roman" w:hAnsi="Arial" w:cs="Arial"/>
          <w:bCs/>
        </w:rPr>
        <w:lastRenderedPageBreak/>
        <w:t xml:space="preserve">humanos e a defesa, em todos os graus, judicial e extrajudicial, dos direitos individuais e coletivos, de forma integral e gratuita, aos necessitados, na forma do inciso LXXIV, do art. 5º, da Constituição Federal e do art. 1º, da Lei Complementar Federal nº 80/1994; </w:t>
      </w:r>
    </w:p>
    <w:p w14:paraId="4DE0B554" w14:textId="77777777" w:rsidR="00A83B84" w:rsidRDefault="00A83B84" w:rsidP="00105898">
      <w:pPr>
        <w:spacing w:before="240" w:after="240" w:line="360" w:lineRule="auto"/>
        <w:jc w:val="both"/>
        <w:rPr>
          <w:rFonts w:ascii="Arial" w:eastAsia="Times New Roman" w:hAnsi="Arial" w:cs="Arial"/>
          <w:bCs/>
        </w:rPr>
      </w:pPr>
      <w:r w:rsidRPr="00A83B84">
        <w:rPr>
          <w:rFonts w:ascii="Arial" w:eastAsia="Times New Roman" w:hAnsi="Arial" w:cs="Arial"/>
          <w:b/>
        </w:rPr>
        <w:t xml:space="preserve">CONSIDERANDO </w:t>
      </w:r>
      <w:r w:rsidRPr="00A83B84">
        <w:rPr>
          <w:rFonts w:ascii="Arial" w:eastAsia="Times New Roman" w:hAnsi="Arial" w:cs="Arial"/>
          <w:bCs/>
        </w:rPr>
        <w:t>que é função institucional da Defensoria Pública atuar na promoção, proteção e defesa dos direitos das crianças e adolescentes, sendo assegurado a estes sujeitos em desenvolvimento o acesso aos serviços de assistência e orientação jurídica integral e gratuita prestados pela instituição, nos moldes do art. 70-A, inciso II, e art. 141, ambos da Lei 8.069 (Estatuto da Criança e do Adolescente - ECA);</w:t>
      </w:r>
    </w:p>
    <w:p w14:paraId="4FC524B4" w14:textId="77777777" w:rsidR="00A83B84" w:rsidRDefault="00A83B84" w:rsidP="00105898">
      <w:pPr>
        <w:spacing w:before="240" w:after="240" w:line="360" w:lineRule="auto"/>
        <w:jc w:val="both"/>
        <w:rPr>
          <w:rFonts w:ascii="Arial" w:eastAsia="Times New Roman" w:hAnsi="Arial" w:cs="Arial"/>
          <w:b/>
        </w:rPr>
      </w:pPr>
      <w:r w:rsidRPr="00A83B84">
        <w:rPr>
          <w:rFonts w:ascii="Arial" w:eastAsia="Times New Roman" w:hAnsi="Arial" w:cs="Arial"/>
          <w:b/>
        </w:rPr>
        <w:t xml:space="preserve"> CONSIDERANDO </w:t>
      </w:r>
      <w:r w:rsidRPr="00A83B84">
        <w:rPr>
          <w:rFonts w:ascii="Arial" w:eastAsia="Times New Roman" w:hAnsi="Arial" w:cs="Arial"/>
          <w:bCs/>
        </w:rPr>
        <w:t xml:space="preserve">que a Constituição Federal, em seus arts. 6º e 196, estabelece a saúde como direito social fundamental de todos e dever do Estado, garantido mediante políticas sociais e econômicas que visem à redução do risco de doença e ao acesso universal e igualitário às ações e serviços para sua promoção, proteção e recuperação; </w:t>
      </w:r>
    </w:p>
    <w:p w14:paraId="6DE015B6" w14:textId="77777777" w:rsidR="00A83B84" w:rsidRDefault="00A83B84" w:rsidP="00105898">
      <w:pPr>
        <w:spacing w:before="240" w:after="240" w:line="360" w:lineRule="auto"/>
        <w:jc w:val="both"/>
        <w:rPr>
          <w:rFonts w:ascii="Arial" w:eastAsia="Times New Roman" w:hAnsi="Arial" w:cs="Arial"/>
          <w:b/>
        </w:rPr>
      </w:pPr>
      <w:r w:rsidRPr="00A83B84">
        <w:rPr>
          <w:rFonts w:ascii="Arial" w:eastAsia="Times New Roman" w:hAnsi="Arial" w:cs="Arial"/>
          <w:b/>
        </w:rPr>
        <w:t xml:space="preserve">CONSIDERANDO </w:t>
      </w:r>
      <w:r w:rsidRPr="00A83B84">
        <w:rPr>
          <w:rFonts w:ascii="Arial" w:eastAsia="Times New Roman" w:hAnsi="Arial" w:cs="Arial"/>
          <w:bCs/>
        </w:rPr>
        <w:t>que o art. 203, inciso IV, da Constituição Federal, prevê a oferta de serviços de assistência social para a “habilitação e reabilitação das pessoas portadoras de deficiência e a promoção de sua integração à vida comunitária”;</w:t>
      </w:r>
      <w:r w:rsidRPr="00A83B84">
        <w:rPr>
          <w:rFonts w:ascii="Arial" w:eastAsia="Times New Roman" w:hAnsi="Arial" w:cs="Arial"/>
          <w:b/>
        </w:rPr>
        <w:t xml:space="preserve"> </w:t>
      </w:r>
    </w:p>
    <w:p w14:paraId="51177767" w14:textId="77777777" w:rsidR="00A83B84" w:rsidRDefault="00A83B84" w:rsidP="00105898">
      <w:pPr>
        <w:spacing w:before="240" w:after="240" w:line="360" w:lineRule="auto"/>
        <w:jc w:val="both"/>
        <w:rPr>
          <w:rFonts w:ascii="Arial" w:eastAsia="Times New Roman" w:hAnsi="Arial" w:cs="Arial"/>
          <w:b/>
        </w:rPr>
      </w:pPr>
      <w:r w:rsidRPr="00A83B84">
        <w:rPr>
          <w:rFonts w:ascii="Arial" w:eastAsia="Times New Roman" w:hAnsi="Arial" w:cs="Arial"/>
          <w:b/>
        </w:rPr>
        <w:t xml:space="preserve">CONSIDERANDO </w:t>
      </w:r>
      <w:r w:rsidRPr="00CB4B34">
        <w:rPr>
          <w:rFonts w:ascii="Arial" w:eastAsia="Times New Roman" w:hAnsi="Arial" w:cs="Arial"/>
          <w:bCs/>
        </w:rPr>
        <w:t>que o art. 227 da Constituição Federal impõe à família, à sociedade e ao Estado o dever de assegurar à criança e ao adolescente, com absoluta prioridade, o direito à vida, à saúde, à dignidade e ao pleno desenvolvimento;</w:t>
      </w:r>
      <w:r w:rsidRPr="00A83B84">
        <w:rPr>
          <w:rFonts w:ascii="Arial" w:eastAsia="Times New Roman" w:hAnsi="Arial" w:cs="Arial"/>
          <w:b/>
        </w:rPr>
        <w:t xml:space="preserve"> </w:t>
      </w:r>
    </w:p>
    <w:p w14:paraId="146C0951" w14:textId="77777777" w:rsidR="007D4C64" w:rsidRDefault="00A83B84" w:rsidP="00105898">
      <w:pPr>
        <w:spacing w:before="240" w:after="240" w:line="360" w:lineRule="auto"/>
        <w:jc w:val="both"/>
        <w:rPr>
          <w:rFonts w:ascii="Arial" w:eastAsia="Times New Roman" w:hAnsi="Arial" w:cs="Arial"/>
          <w:bCs/>
        </w:rPr>
      </w:pPr>
      <w:r w:rsidRPr="00A83B84">
        <w:rPr>
          <w:rFonts w:ascii="Arial" w:eastAsia="Times New Roman" w:hAnsi="Arial" w:cs="Arial"/>
          <w:b/>
        </w:rPr>
        <w:t xml:space="preserve">CONSIDERANDO </w:t>
      </w:r>
      <w:r w:rsidRPr="00A83B84">
        <w:rPr>
          <w:rFonts w:ascii="Arial" w:eastAsia="Times New Roman" w:hAnsi="Arial" w:cs="Arial"/>
          <w:bCs/>
        </w:rPr>
        <w:t>que o art. 227, § 1º, II, da Constituição Federal prevê a “criação de programas de prevenção e atendimento especializado para as pessoas portadoras (sic) de deficiência física, sensorial ou mental, bem como de integração social do adolescente e do jovem portador (sic) de deficiência, mediante o treinamento para o trabalho e a</w:t>
      </w:r>
      <w:r w:rsidR="007D4C64">
        <w:rPr>
          <w:rFonts w:ascii="Arial" w:eastAsia="Times New Roman" w:hAnsi="Arial" w:cs="Arial"/>
          <w:bCs/>
        </w:rPr>
        <w:t xml:space="preserve"> </w:t>
      </w:r>
      <w:r w:rsidR="007D4C64" w:rsidRPr="007D4C64">
        <w:rPr>
          <w:rFonts w:ascii="Arial" w:eastAsia="Times New Roman" w:hAnsi="Arial" w:cs="Arial"/>
          <w:bCs/>
        </w:rPr>
        <w:t xml:space="preserve">convivência, e a facilitação do acesso aos bens e serviços coletivos, com a eliminação de obstáculos arquitetônicos e de todas as formas de discriminação”; </w:t>
      </w:r>
    </w:p>
    <w:p w14:paraId="27EC8203" w14:textId="77777777" w:rsidR="007D4C64" w:rsidRDefault="007D4C64" w:rsidP="00105898">
      <w:pPr>
        <w:spacing w:before="240" w:after="240" w:line="360" w:lineRule="auto"/>
        <w:jc w:val="both"/>
        <w:rPr>
          <w:rFonts w:ascii="Arial" w:eastAsia="Times New Roman" w:hAnsi="Arial" w:cs="Arial"/>
          <w:bCs/>
        </w:rPr>
      </w:pPr>
      <w:r w:rsidRPr="007D4C64">
        <w:rPr>
          <w:rFonts w:ascii="Arial" w:eastAsia="Times New Roman" w:hAnsi="Arial" w:cs="Arial"/>
          <w:b/>
        </w:rPr>
        <w:t>CONSIDERANDO</w:t>
      </w:r>
      <w:r w:rsidRPr="007D4C64">
        <w:rPr>
          <w:rFonts w:ascii="Arial" w:eastAsia="Times New Roman" w:hAnsi="Arial" w:cs="Arial"/>
          <w:bCs/>
        </w:rPr>
        <w:t xml:space="preserve"> que o Estatuto da Criança e do Adolescente (Lei nº 8.069/1990), em seus arts. 7º, 11, reforça o direito ao acesso integral, preventivo e curativo às linhas de cuidado voltadas à saúde, bem como a obrigação estatal de assegurar atenção especializada às pessoas em condição peculiar de desenvolvimento; </w:t>
      </w:r>
    </w:p>
    <w:p w14:paraId="56A67BEC" w14:textId="77777777" w:rsidR="007D4C64" w:rsidRDefault="007D4C64" w:rsidP="00105898">
      <w:pPr>
        <w:spacing w:before="240" w:after="240" w:line="360" w:lineRule="auto"/>
        <w:jc w:val="both"/>
        <w:rPr>
          <w:rFonts w:ascii="Arial" w:eastAsia="Times New Roman" w:hAnsi="Arial" w:cs="Arial"/>
          <w:bCs/>
        </w:rPr>
      </w:pPr>
      <w:r w:rsidRPr="007D4C64">
        <w:rPr>
          <w:rFonts w:ascii="Arial" w:eastAsia="Times New Roman" w:hAnsi="Arial" w:cs="Arial"/>
          <w:b/>
        </w:rPr>
        <w:lastRenderedPageBreak/>
        <w:t>CONSIDERANDO</w:t>
      </w:r>
      <w:r w:rsidRPr="007D4C64">
        <w:rPr>
          <w:rFonts w:ascii="Arial" w:eastAsia="Times New Roman" w:hAnsi="Arial" w:cs="Arial"/>
          <w:bCs/>
        </w:rPr>
        <w:t xml:space="preserve"> que, segundo estabelecido no art. 4º, parágrafo único, alíneas “b”, “c” e “d”, da Lei 8.069/90 – Estatuto da Criança e do Adolescente, a garantia de prioridade compreende, dentre outros fatores: (I) a precedência de atendimento nos serviços públicos e de relevância pública, (II) a preferência na formulação e na execução das políticas sociais e pública e, (III) a destinação privilegiada de recursos públicos nas áreas relacionadas com a proteção à criança e ao adolescente; o que importa na previsão de verbas orçamentárias, nos mais diversos setores de governo, para executar as ações e programas de atendimento, voltados à população infanto-juvenil;</w:t>
      </w:r>
    </w:p>
    <w:p w14:paraId="328A43DC" w14:textId="77777777" w:rsidR="00087561" w:rsidRDefault="007D4C64" w:rsidP="00105898">
      <w:pPr>
        <w:spacing w:before="240" w:after="240" w:line="360" w:lineRule="auto"/>
        <w:jc w:val="both"/>
        <w:rPr>
          <w:rFonts w:ascii="Arial" w:eastAsia="Times New Roman" w:hAnsi="Arial" w:cs="Arial"/>
          <w:bCs/>
        </w:rPr>
      </w:pPr>
      <w:r w:rsidRPr="007D4C64">
        <w:rPr>
          <w:rFonts w:ascii="Arial" w:eastAsia="Times New Roman" w:hAnsi="Arial" w:cs="Arial"/>
          <w:b/>
        </w:rPr>
        <w:t>CONSIDERANDO</w:t>
      </w:r>
      <w:r w:rsidRPr="007D4C64">
        <w:rPr>
          <w:rFonts w:ascii="Arial" w:eastAsia="Times New Roman" w:hAnsi="Arial" w:cs="Arial"/>
          <w:bCs/>
        </w:rPr>
        <w:t xml:space="preserve"> que a Lei n. 8.080/1990 (Lei do Sistema Único de Saúde) estabelece que “saúde é um direito fundamental do ser humano, devendo o Estado prover as condições indispensáveis ao seu pleno exercício”, sendo que também integram a atenção à saúde as ações destinadas a “garantir às pessoas e à coletividade condições de bem-estar físico, mental e social” (art. 2º, c/c art. 3º, parágrafo único);</w:t>
      </w:r>
    </w:p>
    <w:p w14:paraId="0F4688FF" w14:textId="77777777" w:rsidR="00087561" w:rsidRDefault="007D4C64" w:rsidP="00105898">
      <w:pPr>
        <w:spacing w:before="240" w:after="240" w:line="360" w:lineRule="auto"/>
        <w:jc w:val="both"/>
        <w:rPr>
          <w:rFonts w:ascii="Arial" w:eastAsia="Times New Roman" w:hAnsi="Arial" w:cs="Arial"/>
          <w:bCs/>
        </w:rPr>
      </w:pPr>
      <w:r w:rsidRPr="007D4C64">
        <w:rPr>
          <w:rFonts w:ascii="Arial" w:eastAsia="Times New Roman" w:hAnsi="Arial" w:cs="Arial"/>
          <w:b/>
        </w:rPr>
        <w:t xml:space="preserve">CONSIDERANDO </w:t>
      </w:r>
      <w:r w:rsidRPr="007D4C64">
        <w:rPr>
          <w:rFonts w:ascii="Arial" w:eastAsia="Times New Roman" w:hAnsi="Arial" w:cs="Arial"/>
          <w:bCs/>
        </w:rPr>
        <w:t>que a Lei n. 8.080/1990 dispõe ser competência da direção municipal do SUS “planejar, organizar, controlar e avaliar as ações e os serviços de saúde e gerir e executar os serviços públicos de saúde”, nos termos do art. 30, V e VII, da CRFB/1988;</w:t>
      </w:r>
    </w:p>
    <w:p w14:paraId="56D9FFD6" w14:textId="2FACB272" w:rsidR="00B74A7E" w:rsidRDefault="007D4C64" w:rsidP="00105898">
      <w:pPr>
        <w:spacing w:before="240" w:after="240" w:line="360" w:lineRule="auto"/>
        <w:jc w:val="both"/>
        <w:rPr>
          <w:rFonts w:ascii="Arial" w:eastAsia="Times New Roman" w:hAnsi="Arial" w:cs="Arial"/>
          <w:bCs/>
        </w:rPr>
      </w:pPr>
      <w:r w:rsidRPr="007D4C64">
        <w:rPr>
          <w:rFonts w:ascii="Arial" w:eastAsia="Times New Roman" w:hAnsi="Arial" w:cs="Arial"/>
          <w:b/>
        </w:rPr>
        <w:t>CONSIDERANDO</w:t>
      </w:r>
      <w:r w:rsidRPr="007D4C64">
        <w:rPr>
          <w:rFonts w:ascii="Arial" w:eastAsia="Times New Roman" w:hAnsi="Arial" w:cs="Arial"/>
          <w:bCs/>
        </w:rPr>
        <w:t xml:space="preserve"> que a Lei Federal nº 12.764/2012 (que institui a Política Nacional de Proteção dos Direitos da Pessoa com TEA) assegura a tais indivíduos todos os direitos fundamentais, com especial destaque para a atenção integral à saúde, objetivando o diagnóstico precoce, o atendimento multiprofissional e o acesso a medicamentos e nutrientes (art. 2º, inc. III);</w:t>
      </w:r>
    </w:p>
    <w:p w14:paraId="2CE4FBB4" w14:textId="77777777" w:rsidR="00C54BEF" w:rsidRDefault="00C54BEF" w:rsidP="00105898">
      <w:pPr>
        <w:spacing w:before="240" w:after="240" w:line="360" w:lineRule="auto"/>
        <w:jc w:val="both"/>
        <w:rPr>
          <w:rFonts w:ascii="Arial" w:eastAsia="Times New Roman" w:hAnsi="Arial" w:cs="Arial"/>
          <w:bCs/>
        </w:rPr>
      </w:pPr>
      <w:r w:rsidRPr="00C54BEF">
        <w:rPr>
          <w:rFonts w:ascii="Arial" w:eastAsia="Times New Roman" w:hAnsi="Arial" w:cs="Arial"/>
          <w:b/>
        </w:rPr>
        <w:t>CONSIDERANDO</w:t>
      </w:r>
      <w:r w:rsidRPr="00C54BEF">
        <w:rPr>
          <w:rFonts w:ascii="Arial" w:eastAsia="Times New Roman" w:hAnsi="Arial" w:cs="Arial"/>
          <w:bCs/>
        </w:rPr>
        <w:t xml:space="preserve"> que o art. 3º, da Lei Federal nº 12.764/2012, também prevê que são direitos das pessoas com transtorno do espectro autista “o acesso a ações e serviços de saúde, com vistas à atenção integral às suas necessidades de saúde, incluindo: a) o diagnóstico precoce, ainda que não definitivo; b) o atendimento multiprofissional; c) a nutrição adequada e a terapia nutricional; d) os medicamentos; e) informações que auxiliem no diagnóstico e no tratamento”; </w:t>
      </w:r>
    </w:p>
    <w:p w14:paraId="712BA34E" w14:textId="77777777" w:rsidR="00C54BEF" w:rsidRDefault="00C54BEF" w:rsidP="00105898">
      <w:pPr>
        <w:spacing w:before="240" w:after="240" w:line="360" w:lineRule="auto"/>
        <w:jc w:val="both"/>
        <w:rPr>
          <w:rFonts w:ascii="Arial" w:eastAsia="Times New Roman" w:hAnsi="Arial" w:cs="Arial"/>
          <w:bCs/>
        </w:rPr>
      </w:pPr>
      <w:r w:rsidRPr="00C54BEF">
        <w:rPr>
          <w:rFonts w:ascii="Arial" w:eastAsia="Times New Roman" w:hAnsi="Arial" w:cs="Arial"/>
          <w:b/>
        </w:rPr>
        <w:t>CONSIDERANDO</w:t>
      </w:r>
      <w:r w:rsidRPr="00C54BEF">
        <w:rPr>
          <w:rFonts w:ascii="Arial" w:eastAsia="Times New Roman" w:hAnsi="Arial" w:cs="Arial"/>
          <w:bCs/>
        </w:rPr>
        <w:t xml:space="preserve"> que Estatuto da Pessoa com Deficiência (Lei nº 13.146/2015) determina aos Entes Federativos, em seu art. 1º, a obrigação de assegurar e promover, </w:t>
      </w:r>
      <w:r w:rsidRPr="00C54BEF">
        <w:rPr>
          <w:rFonts w:ascii="Arial" w:eastAsia="Times New Roman" w:hAnsi="Arial" w:cs="Arial"/>
          <w:bCs/>
        </w:rPr>
        <w:lastRenderedPageBreak/>
        <w:t xml:space="preserve">em condições de igualdade, o exercício dos direitos e das liberdades fundamentais por pessoa com deficiência, visando à sua inclusão social e cidadania; </w:t>
      </w:r>
    </w:p>
    <w:p w14:paraId="4B4F5C43" w14:textId="77777777" w:rsidR="00C54BEF" w:rsidRDefault="00C54BEF" w:rsidP="00105898">
      <w:pPr>
        <w:spacing w:before="240" w:after="240" w:line="360" w:lineRule="auto"/>
        <w:jc w:val="both"/>
        <w:rPr>
          <w:rFonts w:ascii="Arial" w:eastAsia="Times New Roman" w:hAnsi="Arial" w:cs="Arial"/>
          <w:bCs/>
        </w:rPr>
      </w:pPr>
      <w:r w:rsidRPr="00C54BEF">
        <w:rPr>
          <w:rFonts w:ascii="Arial" w:eastAsia="Times New Roman" w:hAnsi="Arial" w:cs="Arial"/>
          <w:b/>
        </w:rPr>
        <w:t>CONSIDERANDO</w:t>
      </w:r>
      <w:r w:rsidRPr="00C54BEF">
        <w:rPr>
          <w:rFonts w:ascii="Arial" w:eastAsia="Times New Roman" w:hAnsi="Arial" w:cs="Arial"/>
          <w:bCs/>
        </w:rPr>
        <w:t xml:space="preserve"> que a mencionada Lei nº 13.146/2015 prevê ser dever do Estado assegurar à pessoa com deficiência, com prioridade, a efetivação de seus direitos fundamentais à vida, à saúde, à habilitação e à reabilitação, dentre outros que garantam seu bem-estar pessoal, social e econômico (art. 8º); </w:t>
      </w:r>
    </w:p>
    <w:p w14:paraId="374945EC" w14:textId="77777777" w:rsidR="00C54BEF" w:rsidRDefault="00C54BEF" w:rsidP="00105898">
      <w:pPr>
        <w:spacing w:before="240" w:after="240" w:line="360" w:lineRule="auto"/>
        <w:jc w:val="both"/>
        <w:rPr>
          <w:rFonts w:ascii="Arial" w:eastAsia="Times New Roman" w:hAnsi="Arial" w:cs="Arial"/>
          <w:bCs/>
        </w:rPr>
      </w:pPr>
      <w:r w:rsidRPr="00C54BEF">
        <w:rPr>
          <w:rFonts w:ascii="Arial" w:eastAsia="Times New Roman" w:hAnsi="Arial" w:cs="Arial"/>
          <w:b/>
        </w:rPr>
        <w:t>CONSIDERANDO</w:t>
      </w:r>
      <w:r w:rsidRPr="00C54BEF">
        <w:rPr>
          <w:rFonts w:ascii="Arial" w:eastAsia="Times New Roman" w:hAnsi="Arial" w:cs="Arial"/>
          <w:bCs/>
        </w:rPr>
        <w:t xml:space="preserve"> que o Estatuto da Pessoa com Deficiência (ou Lei Brasileira de Inclusão da Pessoa com Deficiência) estabelece, em seu art. 14, caput e parágrafo único, que o “processo de habilitação e de reabilitação é um direito da pessoa com deficiência”, tendo por finalidade “o desenvolvimento de potencialidades, talentos, habilidades e aptidões físicas, cognitivas, sensoriais, psicossociais, atitudinais, profissionais e artísticas que contribuam para a conquista da autonomia da pessoa com deficiência e de sua participação social em igualdade de condições e oportunidades com as demais pessoas”;  </w:t>
      </w:r>
    </w:p>
    <w:p w14:paraId="094B90C5" w14:textId="3E9362FC" w:rsidR="00C54BEF" w:rsidRPr="00A83B84" w:rsidRDefault="00C54BEF" w:rsidP="00105898">
      <w:pPr>
        <w:spacing w:before="240" w:after="240" w:line="360" w:lineRule="auto"/>
        <w:jc w:val="both"/>
        <w:rPr>
          <w:rFonts w:ascii="Arial" w:eastAsia="Times New Roman" w:hAnsi="Arial" w:cs="Arial"/>
          <w:bCs/>
        </w:rPr>
      </w:pPr>
      <w:r w:rsidRPr="00C54BEF">
        <w:rPr>
          <w:rFonts w:ascii="Arial" w:eastAsia="Times New Roman" w:hAnsi="Arial" w:cs="Arial"/>
          <w:b/>
        </w:rPr>
        <w:t>CONSIDERANDO</w:t>
      </w:r>
      <w:r w:rsidRPr="00C54BEF">
        <w:rPr>
          <w:rFonts w:ascii="Arial" w:eastAsia="Times New Roman" w:hAnsi="Arial" w:cs="Arial"/>
          <w:bCs/>
        </w:rPr>
        <w:t xml:space="preserve"> que a referida Lei nº 13.146/2015 prevê que o processo de habilitação e reabilitação “baseia-se em avaliação multidisciplinar das necessidades, habilidades e potencialidades de cada pessoa” e tem por diretrizes o “diagnóstico e intervenção precoces”, a “oferta de rede de serviços articulados, com atuação intersetorial, nos diferentes níveis de complexidade, para atender às necessidades específicas da pessoa com deficiência”, bem como “prestação de serviços próximo ao domicílio da pessoa com deficiência” (art. 15, caput e inc. I, IV e V);</w:t>
      </w:r>
    </w:p>
    <w:p w14:paraId="26EFFB9D" w14:textId="77777777" w:rsidR="007C180A" w:rsidRDefault="007C180A" w:rsidP="00105898">
      <w:pPr>
        <w:spacing w:before="240" w:after="240" w:line="360" w:lineRule="auto"/>
        <w:jc w:val="both"/>
        <w:rPr>
          <w:rFonts w:ascii="Arial" w:eastAsia="Times New Roman" w:hAnsi="Arial" w:cs="Arial"/>
          <w:b/>
        </w:rPr>
      </w:pPr>
      <w:r w:rsidRPr="007C180A">
        <w:rPr>
          <w:rFonts w:ascii="Arial" w:eastAsia="Times New Roman" w:hAnsi="Arial" w:cs="Arial"/>
          <w:b/>
        </w:rPr>
        <w:t xml:space="preserve">CONSIDERANDO </w:t>
      </w:r>
      <w:r w:rsidRPr="007C180A">
        <w:rPr>
          <w:rFonts w:ascii="Arial" w:eastAsia="Times New Roman" w:hAnsi="Arial" w:cs="Arial"/>
          <w:bCs/>
        </w:rPr>
        <w:t>que o Estatuto da Pessoa com Deficiência (Lei nº 13.146/2015), em seu art. 18, caput e § 4º, inc. I e II, assegura à pessoa com deficiência o direito à atenção integral à saúde, em todos os níveis de complexidade, por meio do SUS, garantindo diagnóstico e intervenção precoces, realizados por equipe multidisciplinar, visando à manutenção da melhor condição de saúde e qualidade de vida;</w:t>
      </w:r>
      <w:r w:rsidRPr="007C180A">
        <w:rPr>
          <w:rFonts w:ascii="Arial" w:eastAsia="Times New Roman" w:hAnsi="Arial" w:cs="Arial"/>
          <w:b/>
        </w:rPr>
        <w:t xml:space="preserve"> </w:t>
      </w:r>
    </w:p>
    <w:p w14:paraId="0B423222" w14:textId="77777777" w:rsidR="007C180A" w:rsidRDefault="007C180A" w:rsidP="00105898">
      <w:pPr>
        <w:spacing w:before="240" w:after="240" w:line="360" w:lineRule="auto"/>
        <w:jc w:val="both"/>
        <w:rPr>
          <w:rFonts w:ascii="Arial" w:eastAsia="Times New Roman" w:hAnsi="Arial" w:cs="Arial"/>
          <w:b/>
        </w:rPr>
      </w:pPr>
      <w:r w:rsidRPr="007C180A">
        <w:rPr>
          <w:rFonts w:ascii="Arial" w:eastAsia="Times New Roman" w:hAnsi="Arial" w:cs="Arial"/>
          <w:b/>
        </w:rPr>
        <w:t xml:space="preserve">CONSIDERANDO </w:t>
      </w:r>
      <w:r w:rsidRPr="007C180A">
        <w:rPr>
          <w:rFonts w:ascii="Arial" w:eastAsia="Times New Roman" w:hAnsi="Arial" w:cs="Arial"/>
          <w:bCs/>
        </w:rPr>
        <w:t xml:space="preserve">que a ausência de atendimento especializado importa em grave violação ao princípio da dignidade da pessoa humana (art. 1º, III, CF/88), bem como ao princípio da igualdade material (art. 5º, caput, CF/88), consistindo, ainda, em </w:t>
      </w:r>
      <w:r w:rsidRPr="007C180A">
        <w:rPr>
          <w:rFonts w:ascii="Arial" w:eastAsia="Times New Roman" w:hAnsi="Arial" w:cs="Arial"/>
          <w:bCs/>
        </w:rPr>
        <w:lastRenderedPageBreak/>
        <w:t>desrespeito às prioridades previstas na Constituição Federal e nas legislações de referência;</w:t>
      </w:r>
      <w:r w:rsidRPr="007C180A">
        <w:rPr>
          <w:rFonts w:ascii="Arial" w:eastAsia="Times New Roman" w:hAnsi="Arial" w:cs="Arial"/>
          <w:b/>
        </w:rPr>
        <w:t xml:space="preserve"> </w:t>
      </w:r>
    </w:p>
    <w:p w14:paraId="6ED3C5A3" w14:textId="57950734" w:rsidR="00A83B84" w:rsidRDefault="007C180A" w:rsidP="00105898">
      <w:pPr>
        <w:spacing w:before="240" w:after="240" w:line="360" w:lineRule="auto"/>
        <w:jc w:val="both"/>
        <w:rPr>
          <w:rFonts w:ascii="Arial" w:eastAsia="Times New Roman" w:hAnsi="Arial" w:cs="Arial"/>
          <w:bCs/>
        </w:rPr>
      </w:pPr>
      <w:r w:rsidRPr="007C180A">
        <w:rPr>
          <w:rFonts w:ascii="Arial" w:eastAsia="Times New Roman" w:hAnsi="Arial" w:cs="Arial"/>
          <w:b/>
        </w:rPr>
        <w:t xml:space="preserve">CONSIDERANDO </w:t>
      </w:r>
      <w:r w:rsidRPr="007C180A">
        <w:rPr>
          <w:rFonts w:ascii="Arial" w:eastAsia="Times New Roman" w:hAnsi="Arial" w:cs="Arial"/>
          <w:bCs/>
        </w:rPr>
        <w:t>que a Defensoria Pública possui, como funções institucionais, o dever de promover, prioritariamente, a solução extrajudicial dos conflitos; promover a difusão e a conscientização dos direitos humanos, da cidadania e do ordenamento jurídico; promover ação civil pública e todas as espécies de ações capazes de propiciar a adequada tutela dos direitos difusos, coletivos ou individuais homogêneos quando o resultado da demanda puder beneficiar grupo de pessoas hipossuficientes; exercer a defesa dos direitos e interesses individuais, difusos, coletivos e individuais homogêneos e dos direitos do consumidor, na forma do inciso LXXIV do art. 5º da Constituição Federal; promover a mais ampla defesa dos direitos fundamentais dos necessitados, abrangendo seus direitos individuais, coletivos, difusos, sociais, econômicos, culturais e ambientais, sendo admissíveis todas as espécies de ações capazes de propiciar sua adequada e efetiva tutela; tudo visando a assegurar às pessoas, sob quaisquer circunstâncias, o exercício pleno de seus direitos e garantias fundamentais, conforme o disposto no art. 4º, II, III, VII, VIII, X, da Lei Complementar Federal nº 80/94;</w:t>
      </w:r>
    </w:p>
    <w:p w14:paraId="7E824A8F" w14:textId="77777777" w:rsidR="00AC72B5" w:rsidRDefault="00BE4420" w:rsidP="00105898">
      <w:pPr>
        <w:spacing w:before="240" w:after="240" w:line="360" w:lineRule="auto"/>
        <w:jc w:val="both"/>
        <w:rPr>
          <w:rFonts w:ascii="Arial" w:eastAsia="Times New Roman" w:hAnsi="Arial" w:cs="Arial"/>
          <w:color w:val="000000"/>
        </w:rPr>
      </w:pPr>
      <w:r w:rsidRPr="00AC41FD">
        <w:rPr>
          <w:rFonts w:ascii="Arial" w:eastAsia="Times New Roman" w:hAnsi="Arial" w:cs="Arial"/>
          <w:b/>
        </w:rPr>
        <w:t>RESOLVE</w:t>
      </w:r>
      <w:r w:rsidRPr="00AC41FD">
        <w:rPr>
          <w:rFonts w:ascii="Arial" w:eastAsia="Times New Roman" w:hAnsi="Arial" w:cs="Arial"/>
        </w:rPr>
        <w:t xml:space="preserve"> </w:t>
      </w:r>
      <w:r w:rsidR="00C94D89" w:rsidRPr="00C94D89">
        <w:rPr>
          <w:rFonts w:ascii="Arial" w:eastAsia="Times New Roman" w:hAnsi="Arial" w:cs="Arial"/>
        </w:rPr>
        <w:t xml:space="preserve">instaurar de ofício o presente Procedimento Administrativo de Tutela Coletiva (PTAC), com o fito de adotar providências cabíveis junto ao Município de </w:t>
      </w:r>
      <w:r w:rsidR="00C94D89" w:rsidRPr="00C94D89">
        <w:rPr>
          <w:rFonts w:ascii="Arial" w:eastAsia="Times New Roman" w:hAnsi="Arial" w:cs="Arial"/>
          <w:color w:val="EE0000"/>
        </w:rPr>
        <w:t>XXXXXXXXXXX/MG</w:t>
      </w:r>
      <w:r w:rsidR="00C94D89" w:rsidRPr="00C94D89">
        <w:rPr>
          <w:rFonts w:ascii="Arial" w:eastAsia="Times New Roman" w:hAnsi="Arial" w:cs="Arial"/>
        </w:rPr>
        <w:t xml:space="preserve">, para que a Administração Pública local implemente os serviços de atendimento multidisciplinar especializado para diagnóstico, acompanhamento e tratamento de crianças e adolescentes, jovens e adultos com Transtorno do Espectro Autista (TEA), assegurando o pleno exercício do direito fundamental à saúde e à dignidade humana. </w:t>
      </w:r>
    </w:p>
    <w:p w14:paraId="3CB38746" w14:textId="77777777" w:rsidR="00AC72B5" w:rsidRPr="00AC72B5" w:rsidRDefault="00AC72B5" w:rsidP="00105898">
      <w:pPr>
        <w:shd w:val="clear" w:color="auto" w:fill="F2F2F2" w:themeFill="background1" w:themeFillShade="F2"/>
        <w:spacing w:before="240" w:after="240" w:line="360" w:lineRule="auto"/>
        <w:jc w:val="both"/>
        <w:rPr>
          <w:rFonts w:ascii="Arial" w:eastAsia="Times New Roman" w:hAnsi="Arial" w:cs="Arial"/>
          <w:b/>
          <w:bCs/>
          <w:color w:val="000000"/>
        </w:rPr>
      </w:pPr>
      <w:r w:rsidRPr="00AC72B5">
        <w:rPr>
          <w:rFonts w:ascii="Arial" w:eastAsia="Times New Roman" w:hAnsi="Arial" w:cs="Arial"/>
          <w:b/>
          <w:bCs/>
          <w:color w:val="000000"/>
        </w:rPr>
        <w:t xml:space="preserve">DILIGÊNCIAS: </w:t>
      </w:r>
    </w:p>
    <w:p w14:paraId="7F506562" w14:textId="4A4E6633" w:rsidR="00AC72B5" w:rsidRDefault="00AC72B5" w:rsidP="00105898">
      <w:pPr>
        <w:spacing w:before="240" w:after="240" w:line="360" w:lineRule="auto"/>
        <w:jc w:val="both"/>
        <w:rPr>
          <w:rFonts w:ascii="Arial" w:eastAsia="Times New Roman" w:hAnsi="Arial" w:cs="Arial"/>
          <w:color w:val="000000"/>
        </w:rPr>
      </w:pPr>
      <w:r w:rsidRPr="00AC72B5">
        <w:rPr>
          <w:rFonts w:ascii="Arial" w:eastAsia="Times New Roman" w:hAnsi="Arial" w:cs="Arial"/>
          <w:color w:val="000000"/>
        </w:rPr>
        <w:t xml:space="preserve">Para tanto, determina-se: </w:t>
      </w:r>
    </w:p>
    <w:p w14:paraId="6B331F13" w14:textId="77777777" w:rsidR="000162BD" w:rsidRDefault="00F74AAF" w:rsidP="00105898">
      <w:pPr>
        <w:spacing w:before="240" w:after="240" w:line="360" w:lineRule="auto"/>
        <w:jc w:val="both"/>
        <w:rPr>
          <w:rFonts w:ascii="Arial" w:eastAsia="Times New Roman" w:hAnsi="Arial" w:cs="Arial"/>
          <w:color w:val="000000"/>
        </w:rPr>
      </w:pPr>
      <w:r w:rsidRPr="00F74AAF">
        <w:rPr>
          <w:rFonts w:ascii="Arial" w:eastAsia="Times New Roman" w:hAnsi="Arial" w:cs="Arial"/>
          <w:color w:val="000000"/>
        </w:rPr>
        <w:t xml:space="preserve">1. Oficiar à Secretaria Municipal de Saúde de </w:t>
      </w:r>
      <w:r w:rsidR="000162BD" w:rsidRPr="000162BD">
        <w:rPr>
          <w:rFonts w:ascii="Arial" w:eastAsia="Times New Roman" w:hAnsi="Arial" w:cs="Arial"/>
          <w:color w:val="EE0000"/>
        </w:rPr>
        <w:t>XXXXXXXXX</w:t>
      </w:r>
      <w:r w:rsidRPr="000162BD">
        <w:rPr>
          <w:rFonts w:ascii="Arial" w:eastAsia="Times New Roman" w:hAnsi="Arial" w:cs="Arial"/>
          <w:color w:val="EE0000"/>
        </w:rPr>
        <w:t>/MG</w:t>
      </w:r>
      <w:r w:rsidRPr="00F74AAF">
        <w:rPr>
          <w:rFonts w:ascii="Arial" w:eastAsia="Times New Roman" w:hAnsi="Arial" w:cs="Arial"/>
          <w:color w:val="000000"/>
        </w:rPr>
        <w:t xml:space="preserve">, bem como a Prefeitura Municipal de </w:t>
      </w:r>
      <w:r w:rsidR="000162BD" w:rsidRPr="000162BD">
        <w:rPr>
          <w:rFonts w:ascii="Arial" w:eastAsia="Times New Roman" w:hAnsi="Arial" w:cs="Arial"/>
          <w:color w:val="EE0000"/>
        </w:rPr>
        <w:t>XXXXXXXXX/MG</w:t>
      </w:r>
      <w:r w:rsidR="000162BD" w:rsidRPr="00F74AAF">
        <w:rPr>
          <w:rFonts w:ascii="Arial" w:eastAsia="Times New Roman" w:hAnsi="Arial" w:cs="Arial"/>
          <w:color w:val="000000"/>
        </w:rPr>
        <w:t xml:space="preserve"> </w:t>
      </w:r>
      <w:r w:rsidRPr="00F74AAF">
        <w:rPr>
          <w:rFonts w:ascii="Arial" w:eastAsia="Times New Roman" w:hAnsi="Arial" w:cs="Arial"/>
          <w:color w:val="000000"/>
        </w:rPr>
        <w:t xml:space="preserve">requisitando informações acerca da atual estrutura de atendimento a pessoas com TEA, incluindo número de profissionais, especialidades disponíveis e fluxos de encaminhamento; </w:t>
      </w:r>
    </w:p>
    <w:p w14:paraId="12EF1323" w14:textId="77777777" w:rsidR="000162BD" w:rsidRDefault="00F74AAF" w:rsidP="00105898">
      <w:pPr>
        <w:spacing w:before="240" w:after="240" w:line="360" w:lineRule="auto"/>
        <w:jc w:val="both"/>
        <w:rPr>
          <w:rFonts w:ascii="Arial" w:eastAsia="Times New Roman" w:hAnsi="Arial" w:cs="Arial"/>
          <w:color w:val="000000"/>
        </w:rPr>
      </w:pPr>
      <w:r w:rsidRPr="00F74AAF">
        <w:rPr>
          <w:rFonts w:ascii="Arial" w:eastAsia="Times New Roman" w:hAnsi="Arial" w:cs="Arial"/>
          <w:color w:val="000000"/>
        </w:rPr>
        <w:lastRenderedPageBreak/>
        <w:t xml:space="preserve">2. Requisitar do Município de </w:t>
      </w:r>
      <w:r w:rsidR="000162BD" w:rsidRPr="000162BD">
        <w:rPr>
          <w:rFonts w:ascii="Arial" w:eastAsia="Times New Roman" w:hAnsi="Arial" w:cs="Arial"/>
          <w:color w:val="EE0000"/>
        </w:rPr>
        <w:t>XXXXXXXXX/MG</w:t>
      </w:r>
      <w:r w:rsidRPr="00F74AAF">
        <w:rPr>
          <w:rFonts w:ascii="Arial" w:eastAsia="Times New Roman" w:hAnsi="Arial" w:cs="Arial"/>
          <w:color w:val="000000"/>
        </w:rPr>
        <w:t xml:space="preserve"> a apresentação de plano de ação para a criação e implementação de Equipe Multidisciplinar de Diagnóstico e Acompanhamento do TEA, composta, minimamente, por neurologista, psiquiatra, psicólogo, fonoaudiólogo, terapeuta ocupacional, fisioterapeuta e assistente social, inclusive quanto à especialização na área infantil, conforme recomendações técnico-científicas e normas aplicáveis; </w:t>
      </w:r>
    </w:p>
    <w:p w14:paraId="24E06E62" w14:textId="77777777" w:rsidR="000162BD" w:rsidRDefault="00F74AAF" w:rsidP="00105898">
      <w:pPr>
        <w:spacing w:before="240" w:after="240" w:line="360" w:lineRule="auto"/>
        <w:jc w:val="both"/>
        <w:rPr>
          <w:rFonts w:ascii="Arial" w:eastAsia="Times New Roman" w:hAnsi="Arial" w:cs="Arial"/>
          <w:color w:val="000000"/>
        </w:rPr>
      </w:pPr>
      <w:r w:rsidRPr="00F74AAF">
        <w:rPr>
          <w:rFonts w:ascii="Arial" w:eastAsia="Times New Roman" w:hAnsi="Arial" w:cs="Arial"/>
          <w:color w:val="000000"/>
        </w:rPr>
        <w:t xml:space="preserve">3. Determinar a análise das dotações orçamentárias municipais e a priorização de recursos para a execução da política pública em questão, à luz do art. 4º, parágrafo único, alíneas “b”, “c” e “d”, do Estatuto da Criança e do Adolescente; </w:t>
      </w:r>
    </w:p>
    <w:p w14:paraId="6088484B" w14:textId="78BDCFF9" w:rsidR="000162BD" w:rsidRDefault="00F74AAF" w:rsidP="00105898">
      <w:pPr>
        <w:spacing w:before="240" w:after="240" w:line="360" w:lineRule="auto"/>
        <w:jc w:val="both"/>
        <w:rPr>
          <w:rFonts w:ascii="Arial" w:eastAsia="Times New Roman" w:hAnsi="Arial" w:cs="Arial"/>
          <w:color w:val="000000"/>
        </w:rPr>
      </w:pPr>
      <w:r w:rsidRPr="00F74AAF">
        <w:rPr>
          <w:rFonts w:ascii="Arial" w:eastAsia="Times New Roman" w:hAnsi="Arial" w:cs="Arial"/>
          <w:color w:val="000000"/>
        </w:rPr>
        <w:t xml:space="preserve">4. Autorizar a adoção de medidas extrajudiciais e judiciais necessárias à tutela coletiva do direito fundamental à saúde e ao desenvolvimento integral de crianças e adolescentes com TEA, inclusive mediante ação civil pública ou </w:t>
      </w:r>
      <w:r w:rsidR="000162BD" w:rsidRPr="000162BD">
        <w:rPr>
          <w:rFonts w:ascii="Arial" w:eastAsia="Times New Roman" w:hAnsi="Arial" w:cs="Arial"/>
          <w:color w:val="000000"/>
        </w:rPr>
        <w:t xml:space="preserve">outros instrumentos de intervenção judicial, caso reste configurada inércia ou omissão do Poder Público municipal. </w:t>
      </w:r>
    </w:p>
    <w:p w14:paraId="6542C0CB" w14:textId="7DF9503E" w:rsidR="00DB2324" w:rsidRPr="00AC41FD" w:rsidRDefault="00BE4420" w:rsidP="00105898">
      <w:pPr>
        <w:spacing w:before="240" w:after="240" w:line="360" w:lineRule="auto"/>
        <w:jc w:val="both"/>
        <w:rPr>
          <w:rFonts w:ascii="Arial" w:eastAsia="Times New Roman" w:hAnsi="Arial" w:cs="Arial"/>
          <w:color w:val="000000"/>
        </w:rPr>
      </w:pPr>
      <w:r w:rsidRPr="00AC41FD">
        <w:rPr>
          <w:rFonts w:ascii="Arial" w:eastAsia="Times New Roman" w:hAnsi="Arial" w:cs="Arial"/>
          <w:color w:val="000000"/>
        </w:rPr>
        <w:t>Autue-se. Cumpra-se.</w:t>
      </w:r>
      <w:r w:rsidR="00FF2C86" w:rsidRPr="00AC41FD">
        <w:rPr>
          <w:rFonts w:ascii="Arial" w:eastAsia="Times New Roman" w:hAnsi="Arial" w:cs="Arial"/>
          <w:color w:val="000000"/>
        </w:rPr>
        <w:t xml:space="preserve"> </w:t>
      </w:r>
      <w:r w:rsidRPr="00AC41FD">
        <w:rPr>
          <w:rFonts w:ascii="Arial" w:eastAsia="Times New Roman" w:hAnsi="Arial" w:cs="Arial"/>
          <w:color w:val="000000"/>
        </w:rPr>
        <w:t>Após, venham os autos conclusos para análise.</w:t>
      </w:r>
    </w:p>
    <w:p w14:paraId="2C7E1CF5" w14:textId="2B544635" w:rsidR="00DB2324" w:rsidRPr="00AC41FD" w:rsidRDefault="00E42D85" w:rsidP="00105898">
      <w:pPr>
        <w:spacing w:before="240" w:after="240" w:line="360" w:lineRule="auto"/>
        <w:jc w:val="both"/>
        <w:rPr>
          <w:rFonts w:ascii="Arial" w:eastAsia="Times New Roman" w:hAnsi="Arial" w:cs="Arial"/>
          <w:color w:val="000000"/>
        </w:rPr>
      </w:pPr>
      <w:r w:rsidRPr="00AC41FD">
        <w:rPr>
          <w:rFonts w:ascii="Arial" w:eastAsia="Times New Roman" w:hAnsi="Arial" w:cs="Arial"/>
          <w:color w:val="EE0000"/>
        </w:rPr>
        <w:t>Município - MG</w:t>
      </w:r>
      <w:r w:rsidR="00BE4420" w:rsidRPr="00AC41FD">
        <w:rPr>
          <w:rFonts w:ascii="Arial" w:eastAsia="Times New Roman" w:hAnsi="Arial" w:cs="Arial"/>
          <w:color w:val="EE0000"/>
        </w:rPr>
        <w:t xml:space="preserve">, </w:t>
      </w:r>
      <w:r w:rsidRPr="00AC41FD">
        <w:rPr>
          <w:rFonts w:ascii="Arial" w:eastAsia="Times New Roman" w:hAnsi="Arial" w:cs="Arial"/>
          <w:color w:val="EE0000"/>
        </w:rPr>
        <w:t>data</w:t>
      </w:r>
      <w:r w:rsidRPr="00AC41FD">
        <w:rPr>
          <w:rFonts w:ascii="Arial" w:eastAsia="Times New Roman" w:hAnsi="Arial" w:cs="Arial"/>
          <w:color w:val="000000"/>
        </w:rPr>
        <w:t>.</w:t>
      </w:r>
    </w:p>
    <w:p w14:paraId="3DF45BD1" w14:textId="77777777" w:rsidR="007C526B" w:rsidRPr="00AC41FD" w:rsidRDefault="007C526B">
      <w:pPr>
        <w:spacing w:after="0" w:line="360" w:lineRule="auto"/>
        <w:jc w:val="both"/>
        <w:rPr>
          <w:rFonts w:ascii="Arial" w:eastAsia="Times New Roman" w:hAnsi="Arial" w:cs="Arial"/>
          <w:color w:val="000000"/>
        </w:rPr>
      </w:pPr>
    </w:p>
    <w:p w14:paraId="3DF45BD2" w14:textId="696B2AEC" w:rsidR="00FF7CA5" w:rsidRPr="00AC41FD" w:rsidRDefault="00E42D85" w:rsidP="00CB4B34">
      <w:pPr>
        <w:spacing w:after="0" w:line="240" w:lineRule="auto"/>
        <w:jc w:val="center"/>
        <w:rPr>
          <w:rFonts w:ascii="Arial" w:hAnsi="Arial" w:cs="Arial"/>
          <w:b/>
          <w:smallCaps/>
          <w:color w:val="EE0000"/>
        </w:rPr>
      </w:pPr>
      <w:bookmarkStart w:id="0" w:name="_Hlk178089457"/>
      <w:r w:rsidRPr="00AC41FD">
        <w:rPr>
          <w:rFonts w:ascii="Arial" w:hAnsi="Arial" w:cs="Arial"/>
          <w:b/>
          <w:smallCaps/>
          <w:color w:val="EE0000"/>
        </w:rPr>
        <w:t>Nome da Defensora ou Defensor Público</w:t>
      </w:r>
    </w:p>
    <w:p w14:paraId="3DF45BD3" w14:textId="1F9F9B93" w:rsidR="00FF7CA5" w:rsidRPr="00AC41FD" w:rsidRDefault="004049EC" w:rsidP="00CB4B34">
      <w:pPr>
        <w:spacing w:after="0" w:line="240" w:lineRule="auto"/>
        <w:jc w:val="center"/>
        <w:rPr>
          <w:rFonts w:ascii="Arial" w:hAnsi="Arial" w:cs="Arial"/>
          <w:bCs/>
          <w:smallCaps/>
          <w:color w:val="EE0000"/>
        </w:rPr>
      </w:pPr>
      <w:r w:rsidRPr="00AC41FD">
        <w:rPr>
          <w:rFonts w:ascii="Arial" w:hAnsi="Arial" w:cs="Arial"/>
          <w:bCs/>
          <w:smallCaps/>
          <w:color w:val="EE0000"/>
        </w:rPr>
        <w:t>Defensoria Pública d</w:t>
      </w:r>
      <w:r w:rsidR="00E42D85" w:rsidRPr="00AC41FD">
        <w:rPr>
          <w:rFonts w:ascii="Arial" w:hAnsi="Arial" w:cs="Arial"/>
          <w:bCs/>
          <w:smallCaps/>
          <w:color w:val="EE0000"/>
        </w:rPr>
        <w:t>a Comarca de</w:t>
      </w:r>
      <w:r w:rsidRPr="00AC41FD">
        <w:rPr>
          <w:rFonts w:ascii="Arial" w:hAnsi="Arial" w:cs="Arial"/>
          <w:bCs/>
          <w:smallCaps/>
          <w:color w:val="EE0000"/>
        </w:rPr>
        <w:t xml:space="preserve"> </w:t>
      </w:r>
    </w:p>
    <w:p w14:paraId="3DF45BD4" w14:textId="454B8BA4" w:rsidR="00FF7CA5" w:rsidRPr="00AC41FD" w:rsidRDefault="00FF7CA5" w:rsidP="00CB4B34">
      <w:pPr>
        <w:spacing w:after="0" w:line="240" w:lineRule="auto"/>
        <w:jc w:val="center"/>
        <w:rPr>
          <w:rFonts w:ascii="Arial" w:hAnsi="Arial" w:cs="Arial"/>
          <w:bCs/>
          <w:smallCaps/>
          <w:color w:val="EE0000"/>
        </w:rPr>
      </w:pPr>
      <w:r w:rsidRPr="00AC41FD">
        <w:rPr>
          <w:rFonts w:ascii="Arial" w:hAnsi="Arial" w:cs="Arial"/>
          <w:bCs/>
          <w:smallCaps/>
          <w:color w:val="EE0000"/>
        </w:rPr>
        <w:t>Defensor</w:t>
      </w:r>
      <w:r w:rsidR="004049EC" w:rsidRPr="00AC41FD">
        <w:rPr>
          <w:rFonts w:ascii="Arial" w:hAnsi="Arial" w:cs="Arial"/>
          <w:bCs/>
          <w:smallCaps/>
          <w:color w:val="EE0000"/>
        </w:rPr>
        <w:t>(a)</w:t>
      </w:r>
      <w:r w:rsidRPr="00AC41FD">
        <w:rPr>
          <w:rFonts w:ascii="Arial" w:hAnsi="Arial" w:cs="Arial"/>
          <w:bCs/>
          <w:smallCaps/>
          <w:color w:val="EE0000"/>
        </w:rPr>
        <w:t xml:space="preserve"> Público</w:t>
      </w:r>
      <w:r w:rsidR="004049EC" w:rsidRPr="00AC41FD">
        <w:rPr>
          <w:rFonts w:ascii="Arial" w:hAnsi="Arial" w:cs="Arial"/>
          <w:bCs/>
          <w:smallCaps/>
          <w:color w:val="EE0000"/>
        </w:rPr>
        <w:t>(a)</w:t>
      </w:r>
    </w:p>
    <w:p w14:paraId="3DF45BD5" w14:textId="492021C8" w:rsidR="007C526B" w:rsidRPr="00AC41FD" w:rsidRDefault="00FF7CA5" w:rsidP="00CB4B34">
      <w:pPr>
        <w:spacing w:after="0" w:line="240" w:lineRule="auto"/>
        <w:jc w:val="center"/>
        <w:rPr>
          <w:rFonts w:ascii="Arial" w:hAnsi="Arial" w:cs="Arial"/>
          <w:bCs/>
          <w:smallCaps/>
          <w:color w:val="EE0000"/>
        </w:rPr>
      </w:pPr>
      <w:r w:rsidRPr="00AC41FD">
        <w:rPr>
          <w:rFonts w:ascii="Arial" w:hAnsi="Arial" w:cs="Arial"/>
          <w:bCs/>
          <w:smallCaps/>
          <w:color w:val="EE0000"/>
        </w:rPr>
        <w:t xml:space="preserve">Madep </w:t>
      </w:r>
      <w:bookmarkEnd w:id="0"/>
      <w:r w:rsidR="004049EC" w:rsidRPr="00AC41FD">
        <w:rPr>
          <w:rFonts w:ascii="Arial" w:hAnsi="Arial" w:cs="Arial"/>
          <w:bCs/>
          <w:smallCaps/>
          <w:color w:val="EE0000"/>
        </w:rPr>
        <w:t>XXX</w:t>
      </w:r>
      <w:r w:rsidR="0059296E" w:rsidRPr="00AC41FD">
        <w:rPr>
          <w:rFonts w:ascii="Arial" w:hAnsi="Arial" w:cs="Arial"/>
          <w:bCs/>
          <w:smallCaps/>
          <w:color w:val="EE0000"/>
        </w:rPr>
        <w:t>X</w:t>
      </w:r>
    </w:p>
    <w:p w14:paraId="643350A1" w14:textId="77777777" w:rsidR="00E428E4" w:rsidRPr="00AC41FD" w:rsidRDefault="00E428E4" w:rsidP="00CB4B34">
      <w:pPr>
        <w:spacing w:after="0" w:line="240" w:lineRule="auto"/>
        <w:jc w:val="center"/>
        <w:rPr>
          <w:rFonts w:ascii="Arial" w:hAnsi="Arial" w:cs="Arial"/>
          <w:bCs/>
          <w:smallCaps/>
          <w:color w:val="EE0000"/>
        </w:rPr>
      </w:pPr>
    </w:p>
    <w:p w14:paraId="17178BED" w14:textId="77777777" w:rsidR="00E428E4" w:rsidRPr="00AC41FD" w:rsidRDefault="00E428E4" w:rsidP="00CB4B34">
      <w:pPr>
        <w:spacing w:after="0" w:line="240" w:lineRule="auto"/>
        <w:jc w:val="center"/>
        <w:rPr>
          <w:rFonts w:ascii="Arial" w:hAnsi="Arial" w:cs="Arial"/>
          <w:bCs/>
          <w:smallCaps/>
          <w:color w:val="EE0000"/>
        </w:rPr>
      </w:pPr>
    </w:p>
    <w:p w14:paraId="2DDB6772" w14:textId="77777777" w:rsidR="00B636F2" w:rsidRPr="00AC41FD" w:rsidRDefault="00B636F2" w:rsidP="00CB4B34">
      <w:pPr>
        <w:spacing w:after="0" w:line="240" w:lineRule="auto"/>
        <w:jc w:val="center"/>
        <w:rPr>
          <w:rFonts w:ascii="Arial" w:hAnsi="Arial" w:cs="Arial"/>
          <w:bCs/>
          <w:smallCaps/>
          <w:color w:val="EE0000"/>
        </w:rPr>
      </w:pPr>
    </w:p>
    <w:p w14:paraId="496BE092" w14:textId="77777777" w:rsidR="00E428E4" w:rsidRPr="00AC41FD" w:rsidRDefault="00E428E4" w:rsidP="00CB4B34">
      <w:pPr>
        <w:spacing w:after="0" w:line="240" w:lineRule="auto"/>
        <w:jc w:val="center"/>
        <w:rPr>
          <w:rFonts w:ascii="Arial" w:hAnsi="Arial" w:cs="Arial"/>
          <w:b/>
          <w:smallCaps/>
          <w:color w:val="000000"/>
        </w:rPr>
      </w:pPr>
      <w:r w:rsidRPr="00AC41FD">
        <w:rPr>
          <w:rFonts w:ascii="Arial" w:hAnsi="Arial" w:cs="Arial"/>
          <w:b/>
          <w:smallCaps/>
          <w:color w:val="000000"/>
        </w:rPr>
        <w:t>Paulo Cesar Azevedo de Almeida</w:t>
      </w:r>
    </w:p>
    <w:p w14:paraId="4A93121C" w14:textId="77777777" w:rsidR="00E428E4" w:rsidRPr="00AC41FD" w:rsidRDefault="00E428E4" w:rsidP="00CB4B34">
      <w:pPr>
        <w:spacing w:after="0" w:line="240" w:lineRule="auto"/>
        <w:jc w:val="center"/>
        <w:rPr>
          <w:rFonts w:ascii="Arial" w:hAnsi="Arial" w:cs="Arial"/>
          <w:bCs/>
          <w:smallCaps/>
          <w:color w:val="000000"/>
        </w:rPr>
      </w:pPr>
      <w:r w:rsidRPr="00AC41FD">
        <w:rPr>
          <w:rFonts w:ascii="Arial" w:hAnsi="Arial" w:cs="Arial"/>
          <w:bCs/>
          <w:smallCaps/>
          <w:color w:val="000000"/>
        </w:rPr>
        <w:t>Coordenadoria Estratégica em Tutela Coletiva</w:t>
      </w:r>
    </w:p>
    <w:p w14:paraId="072AAA8C" w14:textId="77777777" w:rsidR="00E428E4" w:rsidRPr="00AC41FD" w:rsidRDefault="00E428E4" w:rsidP="00CB4B34">
      <w:pPr>
        <w:spacing w:after="0" w:line="240" w:lineRule="auto"/>
        <w:jc w:val="center"/>
        <w:rPr>
          <w:rFonts w:ascii="Arial" w:hAnsi="Arial" w:cs="Arial"/>
          <w:bCs/>
          <w:smallCaps/>
          <w:color w:val="000000"/>
        </w:rPr>
      </w:pPr>
      <w:r w:rsidRPr="00AC41FD">
        <w:rPr>
          <w:rFonts w:ascii="Arial" w:hAnsi="Arial" w:cs="Arial"/>
          <w:bCs/>
          <w:smallCaps/>
          <w:color w:val="000000"/>
        </w:rPr>
        <w:t>Defensor Público</w:t>
      </w:r>
    </w:p>
    <w:p w14:paraId="5BCC587F" w14:textId="5700E650" w:rsidR="00E428E4" w:rsidRDefault="00E428E4" w:rsidP="00CB4B34">
      <w:pPr>
        <w:spacing w:after="0" w:line="240" w:lineRule="auto"/>
        <w:jc w:val="center"/>
        <w:rPr>
          <w:rFonts w:ascii="Arial" w:hAnsi="Arial" w:cs="Arial"/>
          <w:bCs/>
          <w:smallCaps/>
          <w:color w:val="000000"/>
        </w:rPr>
      </w:pPr>
      <w:r w:rsidRPr="00AC41FD">
        <w:rPr>
          <w:rFonts w:ascii="Arial" w:hAnsi="Arial" w:cs="Arial"/>
          <w:bCs/>
          <w:smallCaps/>
          <w:color w:val="000000"/>
        </w:rPr>
        <w:t>Madep 883</w:t>
      </w:r>
    </w:p>
    <w:p w14:paraId="319F7116" w14:textId="77777777" w:rsidR="00CB4B34" w:rsidRDefault="00CB4B34" w:rsidP="00CB4B34">
      <w:pPr>
        <w:spacing w:after="0" w:line="240" w:lineRule="auto"/>
        <w:jc w:val="center"/>
        <w:rPr>
          <w:rFonts w:ascii="Arial" w:hAnsi="Arial" w:cs="Arial"/>
          <w:bCs/>
          <w:smallCaps/>
          <w:color w:val="000000"/>
        </w:rPr>
      </w:pPr>
    </w:p>
    <w:p w14:paraId="4EB5231D" w14:textId="77777777" w:rsidR="00CB4B34" w:rsidRDefault="00CB4B34" w:rsidP="00CB4B34">
      <w:pPr>
        <w:spacing w:after="0" w:line="240" w:lineRule="auto"/>
        <w:jc w:val="center"/>
        <w:rPr>
          <w:rFonts w:ascii="Arial" w:hAnsi="Arial" w:cs="Arial"/>
          <w:bCs/>
          <w:smallCaps/>
          <w:color w:val="000000"/>
        </w:rPr>
      </w:pPr>
    </w:p>
    <w:p w14:paraId="238DA5C3" w14:textId="77777777" w:rsidR="00CB4B34" w:rsidRDefault="00CB4B34" w:rsidP="00CB4B34">
      <w:pPr>
        <w:spacing w:after="0" w:line="240" w:lineRule="auto"/>
        <w:jc w:val="center"/>
        <w:rPr>
          <w:rFonts w:ascii="Arial" w:hAnsi="Arial" w:cs="Arial"/>
          <w:bCs/>
          <w:smallCaps/>
          <w:color w:val="000000"/>
        </w:rPr>
      </w:pPr>
    </w:p>
    <w:p w14:paraId="44292D87" w14:textId="77777777" w:rsidR="00CB4B34" w:rsidRPr="00E32BAD" w:rsidRDefault="00CB4B34" w:rsidP="00CB4B34">
      <w:pPr>
        <w:spacing w:after="0" w:line="240" w:lineRule="auto"/>
        <w:jc w:val="center"/>
        <w:rPr>
          <w:rFonts w:ascii="Arial" w:hAnsi="Arial" w:cs="Arial"/>
          <w:b/>
          <w:smallCaps/>
          <w:color w:val="000000"/>
        </w:rPr>
      </w:pPr>
      <w:r>
        <w:rPr>
          <w:rFonts w:ascii="Arial" w:hAnsi="Arial" w:cs="Arial"/>
          <w:b/>
          <w:smallCaps/>
          <w:color w:val="000000"/>
        </w:rPr>
        <w:t>Luis Renato Braga Areas Pinheiro</w:t>
      </w:r>
    </w:p>
    <w:p w14:paraId="7AC47F90" w14:textId="77777777" w:rsidR="00CB4B34" w:rsidRDefault="00CB4B34" w:rsidP="00CB4B34">
      <w:pPr>
        <w:spacing w:after="0" w:line="240" w:lineRule="auto"/>
        <w:jc w:val="center"/>
        <w:rPr>
          <w:rFonts w:ascii="Arial" w:hAnsi="Arial" w:cs="Arial"/>
          <w:smallCaps/>
          <w:color w:val="000000"/>
        </w:rPr>
      </w:pPr>
      <w:r w:rsidRPr="00E32BAD">
        <w:rPr>
          <w:rFonts w:ascii="Arial" w:hAnsi="Arial" w:cs="Arial"/>
          <w:bCs/>
          <w:smallCaps/>
          <w:color w:val="000000"/>
        </w:rPr>
        <w:t xml:space="preserve">Coordenadoria Estratégica </w:t>
      </w:r>
      <w:r>
        <w:rPr>
          <w:rFonts w:ascii="Arial" w:hAnsi="Arial" w:cs="Arial"/>
          <w:bCs/>
          <w:smallCaps/>
          <w:color w:val="000000"/>
        </w:rPr>
        <w:t xml:space="preserve">de </w:t>
      </w:r>
      <w:r w:rsidRPr="002D0D0B">
        <w:rPr>
          <w:rFonts w:ascii="Arial" w:hAnsi="Arial" w:cs="Arial"/>
          <w:smallCaps/>
          <w:color w:val="000000"/>
        </w:rPr>
        <w:t xml:space="preserve">Promoção e Defesa dos Direitos </w:t>
      </w:r>
      <w:r>
        <w:rPr>
          <w:rFonts w:ascii="Arial" w:hAnsi="Arial" w:cs="Arial"/>
          <w:smallCaps/>
          <w:color w:val="000000"/>
        </w:rPr>
        <w:t>das</w:t>
      </w:r>
    </w:p>
    <w:p w14:paraId="5F5EAA40" w14:textId="77777777" w:rsidR="00CB4B34" w:rsidRPr="00E32BAD" w:rsidRDefault="00CB4B34" w:rsidP="00CB4B34">
      <w:pPr>
        <w:spacing w:after="0" w:line="240" w:lineRule="auto"/>
        <w:jc w:val="center"/>
        <w:rPr>
          <w:rFonts w:ascii="Arial" w:hAnsi="Arial" w:cs="Arial"/>
          <w:bCs/>
          <w:smallCaps/>
          <w:color w:val="000000"/>
        </w:rPr>
      </w:pPr>
      <w:r w:rsidRPr="002D0D0B">
        <w:rPr>
          <w:rFonts w:ascii="Arial" w:hAnsi="Arial" w:cs="Arial"/>
          <w:smallCaps/>
          <w:color w:val="000000"/>
        </w:rPr>
        <w:t>Pessoas Idosas e das Pessoas com Deficiência</w:t>
      </w:r>
    </w:p>
    <w:p w14:paraId="4DB64BAA" w14:textId="77777777" w:rsidR="00CB4B34" w:rsidRDefault="00CB4B34" w:rsidP="00CB4B34">
      <w:pPr>
        <w:spacing w:after="0" w:line="240" w:lineRule="auto"/>
        <w:jc w:val="center"/>
        <w:rPr>
          <w:rFonts w:ascii="Arial" w:hAnsi="Arial" w:cs="Arial"/>
          <w:bCs/>
          <w:smallCaps/>
          <w:color w:val="000000"/>
        </w:rPr>
      </w:pPr>
      <w:r w:rsidRPr="00E32BAD">
        <w:rPr>
          <w:rFonts w:ascii="Arial" w:hAnsi="Arial" w:cs="Arial"/>
          <w:bCs/>
          <w:smallCaps/>
          <w:color w:val="000000"/>
        </w:rPr>
        <w:t>Defensor Público</w:t>
      </w:r>
    </w:p>
    <w:p w14:paraId="6581A09B" w14:textId="77777777" w:rsidR="00CB4B34" w:rsidRPr="00E32BAD" w:rsidRDefault="00CB4B34" w:rsidP="00CB4B34">
      <w:pPr>
        <w:spacing w:after="0" w:line="240" w:lineRule="auto"/>
        <w:jc w:val="center"/>
        <w:rPr>
          <w:rFonts w:ascii="Arial" w:hAnsi="Arial" w:cs="Arial"/>
          <w:bCs/>
          <w:smallCaps/>
          <w:color w:val="000000"/>
        </w:rPr>
      </w:pPr>
      <w:r w:rsidRPr="00E32BAD">
        <w:rPr>
          <w:rFonts w:ascii="Arial" w:hAnsi="Arial" w:cs="Arial"/>
          <w:bCs/>
          <w:smallCaps/>
          <w:color w:val="000000"/>
        </w:rPr>
        <w:t xml:space="preserve">Madep </w:t>
      </w:r>
      <w:r>
        <w:rPr>
          <w:rFonts w:ascii="Arial" w:hAnsi="Arial" w:cs="Arial"/>
          <w:bCs/>
          <w:smallCaps/>
          <w:color w:val="000000"/>
        </w:rPr>
        <w:t>804</w:t>
      </w:r>
    </w:p>
    <w:p w14:paraId="4D90B97F" w14:textId="77777777" w:rsidR="00CB4B34" w:rsidRPr="00AC41FD" w:rsidRDefault="00CB4B34" w:rsidP="00E428E4">
      <w:pPr>
        <w:spacing w:after="0" w:line="240" w:lineRule="auto"/>
        <w:jc w:val="center"/>
        <w:rPr>
          <w:rFonts w:ascii="Arial" w:hAnsi="Arial" w:cs="Arial"/>
          <w:bCs/>
          <w:smallCaps/>
          <w:color w:val="000000"/>
        </w:rPr>
      </w:pPr>
    </w:p>
    <w:sectPr w:rsidR="00CB4B34" w:rsidRPr="00AC41FD" w:rsidSect="0029115F">
      <w:headerReference w:type="default" r:id="rId9"/>
      <w:footerReference w:type="default" r:id="rId10"/>
      <w:pgSz w:w="11906" w:h="16838"/>
      <w:pgMar w:top="249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851C" w14:textId="77777777" w:rsidR="00F76EE1" w:rsidRDefault="00F76EE1">
      <w:pPr>
        <w:spacing w:after="0" w:line="240" w:lineRule="auto"/>
      </w:pPr>
      <w:r>
        <w:separator/>
      </w:r>
    </w:p>
  </w:endnote>
  <w:endnote w:type="continuationSeparator" w:id="0">
    <w:p w14:paraId="27D4D2AE" w14:textId="77777777" w:rsidR="00F76EE1" w:rsidRDefault="00F76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5BDC" w14:textId="77777777" w:rsidR="007C526B" w:rsidRPr="009A7B73" w:rsidRDefault="00BE4420">
    <w:pPr>
      <w:pBdr>
        <w:top w:val="nil"/>
        <w:left w:val="nil"/>
        <w:bottom w:val="nil"/>
        <w:right w:val="nil"/>
        <w:between w:val="nil"/>
      </w:pBdr>
      <w:tabs>
        <w:tab w:val="center" w:pos="4252"/>
        <w:tab w:val="right" w:pos="8504"/>
      </w:tabs>
      <w:spacing w:after="0" w:line="240" w:lineRule="auto"/>
      <w:jc w:val="right"/>
      <w:rPr>
        <w:color w:val="000000"/>
        <w:sz w:val="18"/>
        <w:szCs w:val="18"/>
      </w:rPr>
    </w:pPr>
    <w:r w:rsidRPr="009A7B73">
      <w:rPr>
        <w:color w:val="000000"/>
        <w:sz w:val="18"/>
        <w:szCs w:val="18"/>
      </w:rPr>
      <w:fldChar w:fldCharType="begin"/>
    </w:r>
    <w:r w:rsidRPr="009A7B73">
      <w:rPr>
        <w:color w:val="000000"/>
        <w:sz w:val="18"/>
        <w:szCs w:val="18"/>
      </w:rPr>
      <w:instrText>PAGE</w:instrText>
    </w:r>
    <w:r w:rsidRPr="009A7B73">
      <w:rPr>
        <w:color w:val="000000"/>
        <w:sz w:val="18"/>
        <w:szCs w:val="18"/>
      </w:rPr>
      <w:fldChar w:fldCharType="separate"/>
    </w:r>
    <w:r w:rsidR="00BB0628" w:rsidRPr="009A7B73">
      <w:rPr>
        <w:noProof/>
        <w:color w:val="000000"/>
        <w:sz w:val="18"/>
        <w:szCs w:val="18"/>
      </w:rPr>
      <w:t>1</w:t>
    </w:r>
    <w:r w:rsidRPr="009A7B73">
      <w:rPr>
        <w:color w:val="000000"/>
        <w:sz w:val="18"/>
        <w:szCs w:val="18"/>
      </w:rPr>
      <w:fldChar w:fldCharType="end"/>
    </w:r>
  </w:p>
  <w:p w14:paraId="5EF1F24E" w14:textId="77777777" w:rsidR="009A7B73" w:rsidRPr="009A7B73" w:rsidRDefault="009A7B73" w:rsidP="009A7B73">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8"/>
        <w:szCs w:val="18"/>
        <w:lang w:val="x-none"/>
      </w:rPr>
    </w:pPr>
    <w:r w:rsidRPr="009A7B73">
      <w:rPr>
        <w:rFonts w:ascii="Times New Roman" w:eastAsia="Times New Roman" w:hAnsi="Times New Roman" w:cs="Times New Roman"/>
        <w:color w:val="000000"/>
        <w:sz w:val="18"/>
        <w:szCs w:val="18"/>
        <w:lang w:val="x-none"/>
      </w:rPr>
      <w:t>Coordenadoria Estratégica de Tutela Coletiva</w:t>
    </w:r>
  </w:p>
  <w:p w14:paraId="02E99513" w14:textId="024A0333" w:rsidR="009A7B73" w:rsidRPr="009A7B73" w:rsidRDefault="009A7B73" w:rsidP="009A7B73">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8"/>
        <w:szCs w:val="18"/>
        <w:lang w:val="x-none"/>
      </w:rPr>
    </w:pPr>
    <w:r w:rsidRPr="009A7B73">
      <w:rPr>
        <w:rFonts w:ascii="Times New Roman" w:eastAsia="Times New Roman" w:hAnsi="Times New Roman" w:cs="Times New Roman"/>
        <w:color w:val="000000"/>
        <w:sz w:val="18"/>
        <w:szCs w:val="18"/>
        <w:lang w:val="x-none"/>
      </w:rPr>
      <w:t xml:space="preserve">Coordenadoria Estratégica de Promoção e Defesa </w:t>
    </w:r>
    <w:r w:rsidRPr="009A7B73">
      <w:rPr>
        <w:rFonts w:ascii="Times New Roman" w:eastAsia="Times New Roman" w:hAnsi="Times New Roman" w:cs="Times New Roman"/>
        <w:color w:val="000000"/>
        <w:sz w:val="18"/>
        <w:szCs w:val="18"/>
        <w:lang w:val="x-none"/>
      </w:rPr>
      <w:t>dos Direitos das Pessoas Idosas e das Pessoas com Deficiência</w:t>
    </w:r>
  </w:p>
  <w:p w14:paraId="3DF45BDE" w14:textId="0A8E7F2F" w:rsidR="007C526B" w:rsidRPr="009A7B73" w:rsidRDefault="009A7B73" w:rsidP="009A7B73">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8"/>
        <w:szCs w:val="18"/>
        <w:lang w:val="x-none"/>
      </w:rPr>
    </w:pPr>
    <w:r w:rsidRPr="009A7B73">
      <w:rPr>
        <w:rFonts w:ascii="Times New Roman" w:eastAsia="Times New Roman" w:hAnsi="Times New Roman" w:cs="Times New Roman"/>
        <w:color w:val="000000"/>
        <w:sz w:val="18"/>
        <w:szCs w:val="18"/>
        <w:lang w:val="x-none"/>
      </w:rPr>
      <w:t>Av. Bias Fortes, n. 431, 8º andar, Lourdes - Belo Horizonte/MG.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9882" w14:textId="77777777" w:rsidR="00F76EE1" w:rsidRDefault="00F76EE1">
      <w:pPr>
        <w:spacing w:after="0" w:line="240" w:lineRule="auto"/>
      </w:pPr>
      <w:r>
        <w:separator/>
      </w:r>
    </w:p>
  </w:footnote>
  <w:footnote w:type="continuationSeparator" w:id="0">
    <w:p w14:paraId="4A394B65" w14:textId="77777777" w:rsidR="00F76EE1" w:rsidRDefault="00F76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DDD2" w14:textId="77777777" w:rsidR="0029115F" w:rsidRDefault="0029115F">
    <w:pPr>
      <w:pBdr>
        <w:top w:val="nil"/>
        <w:left w:val="nil"/>
        <w:bottom w:val="nil"/>
        <w:right w:val="nil"/>
        <w:between w:val="nil"/>
      </w:pBdr>
      <w:tabs>
        <w:tab w:val="center" w:pos="4252"/>
        <w:tab w:val="right" w:pos="8504"/>
      </w:tabs>
      <w:spacing w:after="0" w:line="240" w:lineRule="auto"/>
      <w:jc w:val="center"/>
      <w:rPr>
        <w:color w:val="000000"/>
      </w:rPr>
    </w:pPr>
  </w:p>
  <w:p w14:paraId="3DF45BDA" w14:textId="34426A11" w:rsidR="007C526B" w:rsidRDefault="0029115F">
    <w:pPr>
      <w:pBdr>
        <w:top w:val="nil"/>
        <w:left w:val="nil"/>
        <w:bottom w:val="nil"/>
        <w:right w:val="nil"/>
        <w:between w:val="nil"/>
      </w:pBdr>
      <w:tabs>
        <w:tab w:val="center" w:pos="4252"/>
        <w:tab w:val="right" w:pos="8504"/>
      </w:tabs>
      <w:spacing w:after="0" w:line="240" w:lineRule="auto"/>
      <w:jc w:val="center"/>
      <w:rPr>
        <w:color w:val="000000"/>
      </w:rPr>
    </w:pPr>
    <w:r>
      <w:rPr>
        <w:noProof/>
      </w:rPr>
      <w:drawing>
        <wp:inline distT="0" distB="0" distL="0" distR="0" wp14:anchorId="2D0ECE16" wp14:editId="2C04F491">
          <wp:extent cx="2948227" cy="767413"/>
          <wp:effectExtent l="0" t="0" r="0" b="0"/>
          <wp:docPr id="151761070" name="Gráfico 15176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ova.68b85fa7.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036941" cy="790505"/>
                  </a:xfrm>
                  <a:prstGeom prst="rect">
                    <a:avLst/>
                  </a:prstGeom>
                </pic:spPr>
              </pic:pic>
            </a:graphicData>
          </a:graphic>
        </wp:inline>
      </w:drawing>
    </w:r>
  </w:p>
  <w:p w14:paraId="3DF45BDB" w14:textId="77777777" w:rsidR="007C526B" w:rsidRDefault="007C526B">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169BB"/>
    <w:multiLevelType w:val="hybridMultilevel"/>
    <w:tmpl w:val="070CB9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AD85C9E"/>
    <w:multiLevelType w:val="multilevel"/>
    <w:tmpl w:val="B2E8F7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185A4A"/>
    <w:multiLevelType w:val="multilevel"/>
    <w:tmpl w:val="440E25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561AB1"/>
    <w:multiLevelType w:val="multilevel"/>
    <w:tmpl w:val="440E25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9623706">
    <w:abstractNumId w:val="2"/>
  </w:num>
  <w:num w:numId="2" w16cid:durableId="861236831">
    <w:abstractNumId w:val="3"/>
  </w:num>
  <w:num w:numId="3" w16cid:durableId="1046442761">
    <w:abstractNumId w:val="0"/>
  </w:num>
  <w:num w:numId="4" w16cid:durableId="369494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6B"/>
    <w:rsid w:val="00001A2F"/>
    <w:rsid w:val="00011FE6"/>
    <w:rsid w:val="00014083"/>
    <w:rsid w:val="000162BD"/>
    <w:rsid w:val="000163C5"/>
    <w:rsid w:val="000210DC"/>
    <w:rsid w:val="000240AE"/>
    <w:rsid w:val="00034070"/>
    <w:rsid w:val="00044BED"/>
    <w:rsid w:val="00044FB7"/>
    <w:rsid w:val="0006585D"/>
    <w:rsid w:val="00073A2B"/>
    <w:rsid w:val="00087561"/>
    <w:rsid w:val="0008774F"/>
    <w:rsid w:val="000955C0"/>
    <w:rsid w:val="000B7B99"/>
    <w:rsid w:val="000D70D4"/>
    <w:rsid w:val="000E3CB9"/>
    <w:rsid w:val="000E6F9E"/>
    <w:rsid w:val="000E7F55"/>
    <w:rsid w:val="000F6211"/>
    <w:rsid w:val="000F6931"/>
    <w:rsid w:val="00105898"/>
    <w:rsid w:val="0011641E"/>
    <w:rsid w:val="00137D02"/>
    <w:rsid w:val="001462C2"/>
    <w:rsid w:val="00146585"/>
    <w:rsid w:val="0015126E"/>
    <w:rsid w:val="00154828"/>
    <w:rsid w:val="00162E77"/>
    <w:rsid w:val="0017405C"/>
    <w:rsid w:val="001753F8"/>
    <w:rsid w:val="00177AA3"/>
    <w:rsid w:val="00184BEC"/>
    <w:rsid w:val="00186A36"/>
    <w:rsid w:val="00193C18"/>
    <w:rsid w:val="001A4457"/>
    <w:rsid w:val="001A47A5"/>
    <w:rsid w:val="001B0834"/>
    <w:rsid w:val="001B582C"/>
    <w:rsid w:val="001C242E"/>
    <w:rsid w:val="001C608D"/>
    <w:rsid w:val="001D32D8"/>
    <w:rsid w:val="001E0E62"/>
    <w:rsid w:val="001E1A7B"/>
    <w:rsid w:val="001E6593"/>
    <w:rsid w:val="001F2908"/>
    <w:rsid w:val="002046D2"/>
    <w:rsid w:val="00227A07"/>
    <w:rsid w:val="00231612"/>
    <w:rsid w:val="002345EB"/>
    <w:rsid w:val="00235923"/>
    <w:rsid w:val="00240F87"/>
    <w:rsid w:val="00244416"/>
    <w:rsid w:val="00247505"/>
    <w:rsid w:val="002535A7"/>
    <w:rsid w:val="0026083C"/>
    <w:rsid w:val="00260B33"/>
    <w:rsid w:val="0026269F"/>
    <w:rsid w:val="00271D40"/>
    <w:rsid w:val="00287ADD"/>
    <w:rsid w:val="0029115F"/>
    <w:rsid w:val="002916A9"/>
    <w:rsid w:val="002949C9"/>
    <w:rsid w:val="002A202D"/>
    <w:rsid w:val="002A3B18"/>
    <w:rsid w:val="002B5DCC"/>
    <w:rsid w:val="002C3BE9"/>
    <w:rsid w:val="002C42B9"/>
    <w:rsid w:val="002D2281"/>
    <w:rsid w:val="002E087A"/>
    <w:rsid w:val="002E11C3"/>
    <w:rsid w:val="002E1F7A"/>
    <w:rsid w:val="002E6D85"/>
    <w:rsid w:val="002F23CD"/>
    <w:rsid w:val="002F35B8"/>
    <w:rsid w:val="00317C08"/>
    <w:rsid w:val="00322C8D"/>
    <w:rsid w:val="003251E3"/>
    <w:rsid w:val="00353F79"/>
    <w:rsid w:val="00356A8B"/>
    <w:rsid w:val="0037405A"/>
    <w:rsid w:val="00374C3C"/>
    <w:rsid w:val="003904C7"/>
    <w:rsid w:val="00394037"/>
    <w:rsid w:val="003A4FC8"/>
    <w:rsid w:val="003B3FB5"/>
    <w:rsid w:val="003B527A"/>
    <w:rsid w:val="003C2CD6"/>
    <w:rsid w:val="003C56BC"/>
    <w:rsid w:val="003D24D2"/>
    <w:rsid w:val="003E693A"/>
    <w:rsid w:val="003E6D35"/>
    <w:rsid w:val="003F753A"/>
    <w:rsid w:val="00404680"/>
    <w:rsid w:val="004049EC"/>
    <w:rsid w:val="0041659E"/>
    <w:rsid w:val="00420580"/>
    <w:rsid w:val="004206E6"/>
    <w:rsid w:val="00437009"/>
    <w:rsid w:val="00455684"/>
    <w:rsid w:val="00467182"/>
    <w:rsid w:val="004761A3"/>
    <w:rsid w:val="004765EF"/>
    <w:rsid w:val="00480103"/>
    <w:rsid w:val="0048342A"/>
    <w:rsid w:val="00483D24"/>
    <w:rsid w:val="00493F4B"/>
    <w:rsid w:val="00495C77"/>
    <w:rsid w:val="004B07E7"/>
    <w:rsid w:val="004B68B0"/>
    <w:rsid w:val="004C3C33"/>
    <w:rsid w:val="004D1017"/>
    <w:rsid w:val="004D11B8"/>
    <w:rsid w:val="004D2BFC"/>
    <w:rsid w:val="004F4F9A"/>
    <w:rsid w:val="00501216"/>
    <w:rsid w:val="005078AB"/>
    <w:rsid w:val="005131AC"/>
    <w:rsid w:val="005358D4"/>
    <w:rsid w:val="00536801"/>
    <w:rsid w:val="00556EB0"/>
    <w:rsid w:val="00573315"/>
    <w:rsid w:val="00577FB3"/>
    <w:rsid w:val="0059296E"/>
    <w:rsid w:val="0059434E"/>
    <w:rsid w:val="005A1274"/>
    <w:rsid w:val="005A67C6"/>
    <w:rsid w:val="005B3DBF"/>
    <w:rsid w:val="005B4CFB"/>
    <w:rsid w:val="005D668F"/>
    <w:rsid w:val="005D7670"/>
    <w:rsid w:val="005E6F60"/>
    <w:rsid w:val="005F0D79"/>
    <w:rsid w:val="005F3DC4"/>
    <w:rsid w:val="00601D7A"/>
    <w:rsid w:val="0060523B"/>
    <w:rsid w:val="0060736E"/>
    <w:rsid w:val="00607D16"/>
    <w:rsid w:val="00610017"/>
    <w:rsid w:val="006100DD"/>
    <w:rsid w:val="006119A2"/>
    <w:rsid w:val="00611F2A"/>
    <w:rsid w:val="00613192"/>
    <w:rsid w:val="0063132C"/>
    <w:rsid w:val="0063604A"/>
    <w:rsid w:val="0065425A"/>
    <w:rsid w:val="0066521B"/>
    <w:rsid w:val="0066552C"/>
    <w:rsid w:val="006668BD"/>
    <w:rsid w:val="00666970"/>
    <w:rsid w:val="00686D52"/>
    <w:rsid w:val="006B78BD"/>
    <w:rsid w:val="006B78E3"/>
    <w:rsid w:val="006B7C01"/>
    <w:rsid w:val="006E2252"/>
    <w:rsid w:val="006E36C8"/>
    <w:rsid w:val="006E5369"/>
    <w:rsid w:val="00702603"/>
    <w:rsid w:val="0070551F"/>
    <w:rsid w:val="007169BE"/>
    <w:rsid w:val="00725295"/>
    <w:rsid w:val="00735790"/>
    <w:rsid w:val="0074322D"/>
    <w:rsid w:val="00745CD0"/>
    <w:rsid w:val="007542F0"/>
    <w:rsid w:val="00762F74"/>
    <w:rsid w:val="00764EE7"/>
    <w:rsid w:val="007653D3"/>
    <w:rsid w:val="00770560"/>
    <w:rsid w:val="00770601"/>
    <w:rsid w:val="00771022"/>
    <w:rsid w:val="0077142D"/>
    <w:rsid w:val="00777EBF"/>
    <w:rsid w:val="00780BD9"/>
    <w:rsid w:val="007853B2"/>
    <w:rsid w:val="00790878"/>
    <w:rsid w:val="00796A94"/>
    <w:rsid w:val="007B0792"/>
    <w:rsid w:val="007C180A"/>
    <w:rsid w:val="007C526B"/>
    <w:rsid w:val="007C5372"/>
    <w:rsid w:val="007D4C64"/>
    <w:rsid w:val="007D5A18"/>
    <w:rsid w:val="007D5B31"/>
    <w:rsid w:val="007E47CD"/>
    <w:rsid w:val="007E4BBF"/>
    <w:rsid w:val="007E5AA1"/>
    <w:rsid w:val="007E7F11"/>
    <w:rsid w:val="00801658"/>
    <w:rsid w:val="008035B2"/>
    <w:rsid w:val="00806593"/>
    <w:rsid w:val="008145A8"/>
    <w:rsid w:val="00832A47"/>
    <w:rsid w:val="00834E96"/>
    <w:rsid w:val="008371C6"/>
    <w:rsid w:val="00841F3E"/>
    <w:rsid w:val="008545B8"/>
    <w:rsid w:val="008602CA"/>
    <w:rsid w:val="008627E4"/>
    <w:rsid w:val="008708C1"/>
    <w:rsid w:val="00874A64"/>
    <w:rsid w:val="0088645A"/>
    <w:rsid w:val="008A5312"/>
    <w:rsid w:val="008C2B45"/>
    <w:rsid w:val="008D7AE8"/>
    <w:rsid w:val="008D7C3C"/>
    <w:rsid w:val="008F37D8"/>
    <w:rsid w:val="008F46F7"/>
    <w:rsid w:val="008F6A90"/>
    <w:rsid w:val="00902857"/>
    <w:rsid w:val="009039E2"/>
    <w:rsid w:val="00916AAD"/>
    <w:rsid w:val="00917EE6"/>
    <w:rsid w:val="0092498A"/>
    <w:rsid w:val="00935E31"/>
    <w:rsid w:val="00945CE9"/>
    <w:rsid w:val="009539A2"/>
    <w:rsid w:val="00955F67"/>
    <w:rsid w:val="009642BF"/>
    <w:rsid w:val="00966907"/>
    <w:rsid w:val="009677E8"/>
    <w:rsid w:val="00972757"/>
    <w:rsid w:val="00974388"/>
    <w:rsid w:val="009814CB"/>
    <w:rsid w:val="00994747"/>
    <w:rsid w:val="00995F3B"/>
    <w:rsid w:val="009A5A6A"/>
    <w:rsid w:val="009A7B73"/>
    <w:rsid w:val="009B0A36"/>
    <w:rsid w:val="009B2F9E"/>
    <w:rsid w:val="009B55C0"/>
    <w:rsid w:val="009B6DE9"/>
    <w:rsid w:val="009C4A08"/>
    <w:rsid w:val="009C5752"/>
    <w:rsid w:val="009D0089"/>
    <w:rsid w:val="009D4163"/>
    <w:rsid w:val="009E2BF4"/>
    <w:rsid w:val="009E7E01"/>
    <w:rsid w:val="009F0BEE"/>
    <w:rsid w:val="009F4421"/>
    <w:rsid w:val="009F5BEB"/>
    <w:rsid w:val="009F6FBB"/>
    <w:rsid w:val="00A02876"/>
    <w:rsid w:val="00A046EC"/>
    <w:rsid w:val="00A055D9"/>
    <w:rsid w:val="00A14421"/>
    <w:rsid w:val="00A168D6"/>
    <w:rsid w:val="00A20C05"/>
    <w:rsid w:val="00A21B6B"/>
    <w:rsid w:val="00A32D8B"/>
    <w:rsid w:val="00A33837"/>
    <w:rsid w:val="00A359EB"/>
    <w:rsid w:val="00A50F55"/>
    <w:rsid w:val="00A5291B"/>
    <w:rsid w:val="00A5630A"/>
    <w:rsid w:val="00A66C64"/>
    <w:rsid w:val="00A67AB6"/>
    <w:rsid w:val="00A760FA"/>
    <w:rsid w:val="00A765EB"/>
    <w:rsid w:val="00A83B84"/>
    <w:rsid w:val="00A875C3"/>
    <w:rsid w:val="00A96F18"/>
    <w:rsid w:val="00AA5AFF"/>
    <w:rsid w:val="00AB2FBF"/>
    <w:rsid w:val="00AB44A3"/>
    <w:rsid w:val="00AB75E5"/>
    <w:rsid w:val="00AC41FD"/>
    <w:rsid w:val="00AC66D5"/>
    <w:rsid w:val="00AC6BF1"/>
    <w:rsid w:val="00AC72B5"/>
    <w:rsid w:val="00AE402D"/>
    <w:rsid w:val="00AE7670"/>
    <w:rsid w:val="00AF2BBD"/>
    <w:rsid w:val="00B07345"/>
    <w:rsid w:val="00B14398"/>
    <w:rsid w:val="00B212C6"/>
    <w:rsid w:val="00B22AAD"/>
    <w:rsid w:val="00B23265"/>
    <w:rsid w:val="00B24C92"/>
    <w:rsid w:val="00B31A8A"/>
    <w:rsid w:val="00B33E03"/>
    <w:rsid w:val="00B37B7C"/>
    <w:rsid w:val="00B41E5F"/>
    <w:rsid w:val="00B450E9"/>
    <w:rsid w:val="00B47BC3"/>
    <w:rsid w:val="00B508E2"/>
    <w:rsid w:val="00B5121A"/>
    <w:rsid w:val="00B636F2"/>
    <w:rsid w:val="00B66D1A"/>
    <w:rsid w:val="00B671CC"/>
    <w:rsid w:val="00B73D77"/>
    <w:rsid w:val="00B74A7E"/>
    <w:rsid w:val="00B75AE0"/>
    <w:rsid w:val="00B84474"/>
    <w:rsid w:val="00B85076"/>
    <w:rsid w:val="00B86814"/>
    <w:rsid w:val="00B86D9F"/>
    <w:rsid w:val="00B90E7F"/>
    <w:rsid w:val="00B9790A"/>
    <w:rsid w:val="00BA141C"/>
    <w:rsid w:val="00BB0628"/>
    <w:rsid w:val="00BC0203"/>
    <w:rsid w:val="00BC0303"/>
    <w:rsid w:val="00BC37FA"/>
    <w:rsid w:val="00BD2630"/>
    <w:rsid w:val="00BE3DA0"/>
    <w:rsid w:val="00BE4420"/>
    <w:rsid w:val="00BE7023"/>
    <w:rsid w:val="00BF5011"/>
    <w:rsid w:val="00C00330"/>
    <w:rsid w:val="00C01579"/>
    <w:rsid w:val="00C07982"/>
    <w:rsid w:val="00C111AA"/>
    <w:rsid w:val="00C22EE2"/>
    <w:rsid w:val="00C25074"/>
    <w:rsid w:val="00C30C38"/>
    <w:rsid w:val="00C520D4"/>
    <w:rsid w:val="00C52235"/>
    <w:rsid w:val="00C535E6"/>
    <w:rsid w:val="00C54BEF"/>
    <w:rsid w:val="00C802A1"/>
    <w:rsid w:val="00C8038E"/>
    <w:rsid w:val="00C82A65"/>
    <w:rsid w:val="00C94D89"/>
    <w:rsid w:val="00C964FF"/>
    <w:rsid w:val="00C97135"/>
    <w:rsid w:val="00CB4B34"/>
    <w:rsid w:val="00CC0800"/>
    <w:rsid w:val="00CC3A8B"/>
    <w:rsid w:val="00CD5E6B"/>
    <w:rsid w:val="00CF221A"/>
    <w:rsid w:val="00CF37A3"/>
    <w:rsid w:val="00D05945"/>
    <w:rsid w:val="00D10138"/>
    <w:rsid w:val="00D173FD"/>
    <w:rsid w:val="00D21836"/>
    <w:rsid w:val="00D25B90"/>
    <w:rsid w:val="00D371F3"/>
    <w:rsid w:val="00D4395B"/>
    <w:rsid w:val="00D50E49"/>
    <w:rsid w:val="00D5335D"/>
    <w:rsid w:val="00D54A75"/>
    <w:rsid w:val="00D7599C"/>
    <w:rsid w:val="00D8156C"/>
    <w:rsid w:val="00D970D1"/>
    <w:rsid w:val="00DA3103"/>
    <w:rsid w:val="00DA53B8"/>
    <w:rsid w:val="00DB183C"/>
    <w:rsid w:val="00DB2324"/>
    <w:rsid w:val="00DB2492"/>
    <w:rsid w:val="00DC318E"/>
    <w:rsid w:val="00DC48DC"/>
    <w:rsid w:val="00DD24D9"/>
    <w:rsid w:val="00DD6D52"/>
    <w:rsid w:val="00DD7C0D"/>
    <w:rsid w:val="00DE2F82"/>
    <w:rsid w:val="00DE38BE"/>
    <w:rsid w:val="00DE650A"/>
    <w:rsid w:val="00DF4028"/>
    <w:rsid w:val="00DF4E2C"/>
    <w:rsid w:val="00DF7E6E"/>
    <w:rsid w:val="00E07306"/>
    <w:rsid w:val="00E12C2E"/>
    <w:rsid w:val="00E20D2C"/>
    <w:rsid w:val="00E22BB6"/>
    <w:rsid w:val="00E261A8"/>
    <w:rsid w:val="00E317AB"/>
    <w:rsid w:val="00E347A7"/>
    <w:rsid w:val="00E428E4"/>
    <w:rsid w:val="00E42D85"/>
    <w:rsid w:val="00E46E67"/>
    <w:rsid w:val="00E52355"/>
    <w:rsid w:val="00E5247A"/>
    <w:rsid w:val="00E643C0"/>
    <w:rsid w:val="00E6498C"/>
    <w:rsid w:val="00E657AF"/>
    <w:rsid w:val="00E73395"/>
    <w:rsid w:val="00E80775"/>
    <w:rsid w:val="00E85F35"/>
    <w:rsid w:val="00E87750"/>
    <w:rsid w:val="00EA18F6"/>
    <w:rsid w:val="00EA1F65"/>
    <w:rsid w:val="00EA3AEC"/>
    <w:rsid w:val="00EB2792"/>
    <w:rsid w:val="00EB5CC2"/>
    <w:rsid w:val="00EB6AA2"/>
    <w:rsid w:val="00EC329F"/>
    <w:rsid w:val="00ED74C5"/>
    <w:rsid w:val="00EE3FA0"/>
    <w:rsid w:val="00EE61BF"/>
    <w:rsid w:val="00EE68CD"/>
    <w:rsid w:val="00EE72EE"/>
    <w:rsid w:val="00EF08B9"/>
    <w:rsid w:val="00EF5410"/>
    <w:rsid w:val="00F145D8"/>
    <w:rsid w:val="00F24A7C"/>
    <w:rsid w:val="00F26715"/>
    <w:rsid w:val="00F34DD2"/>
    <w:rsid w:val="00F57942"/>
    <w:rsid w:val="00F6060D"/>
    <w:rsid w:val="00F61315"/>
    <w:rsid w:val="00F6462A"/>
    <w:rsid w:val="00F72606"/>
    <w:rsid w:val="00F741CC"/>
    <w:rsid w:val="00F74AAF"/>
    <w:rsid w:val="00F75347"/>
    <w:rsid w:val="00F76EE1"/>
    <w:rsid w:val="00F82463"/>
    <w:rsid w:val="00F82D0E"/>
    <w:rsid w:val="00F874F6"/>
    <w:rsid w:val="00F8770B"/>
    <w:rsid w:val="00F975AB"/>
    <w:rsid w:val="00FA2F69"/>
    <w:rsid w:val="00FB59CF"/>
    <w:rsid w:val="00FB630A"/>
    <w:rsid w:val="00FC5717"/>
    <w:rsid w:val="00FD5923"/>
    <w:rsid w:val="00FE3055"/>
    <w:rsid w:val="00FE3AB6"/>
    <w:rsid w:val="00FF15C9"/>
    <w:rsid w:val="00FF2C86"/>
    <w:rsid w:val="00FF4497"/>
    <w:rsid w:val="00FF7CA5"/>
    <w:rsid w:val="0BFC32C2"/>
    <w:rsid w:val="118EC61E"/>
    <w:rsid w:val="1255DA26"/>
    <w:rsid w:val="1508B729"/>
    <w:rsid w:val="1A877B06"/>
    <w:rsid w:val="1AB431B0"/>
    <w:rsid w:val="2453AEFB"/>
    <w:rsid w:val="2EEAAB0B"/>
    <w:rsid w:val="398235C1"/>
    <w:rsid w:val="3A5DD374"/>
    <w:rsid w:val="3B712066"/>
    <w:rsid w:val="3D6A0EE5"/>
    <w:rsid w:val="3E027056"/>
    <w:rsid w:val="40A5A4C5"/>
    <w:rsid w:val="40E03B11"/>
    <w:rsid w:val="461A2FAD"/>
    <w:rsid w:val="4B5C02BF"/>
    <w:rsid w:val="52614C8B"/>
    <w:rsid w:val="529C3FB0"/>
    <w:rsid w:val="62CBF036"/>
    <w:rsid w:val="6BBF3DDC"/>
    <w:rsid w:val="6CEE6FCF"/>
    <w:rsid w:val="7A1A0E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45B91"/>
  <w15:docId w15:val="{68DEB5BC-5041-4322-AD7C-63DEC23F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FE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63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617"/>
  </w:style>
  <w:style w:type="paragraph" w:styleId="Rodap">
    <w:name w:val="footer"/>
    <w:basedOn w:val="Normal"/>
    <w:link w:val="RodapChar"/>
    <w:uiPriority w:val="99"/>
    <w:unhideWhenUsed/>
    <w:rsid w:val="00634617"/>
    <w:pPr>
      <w:tabs>
        <w:tab w:val="center" w:pos="4252"/>
        <w:tab w:val="right" w:pos="8504"/>
      </w:tabs>
      <w:spacing w:after="0" w:line="240" w:lineRule="auto"/>
    </w:pPr>
  </w:style>
  <w:style w:type="character" w:customStyle="1" w:styleId="RodapChar">
    <w:name w:val="Rodapé Char"/>
    <w:basedOn w:val="Fontepargpadro"/>
    <w:link w:val="Rodap"/>
    <w:uiPriority w:val="99"/>
    <w:rsid w:val="00634617"/>
  </w:style>
  <w:style w:type="paragraph" w:styleId="Textodebalo">
    <w:name w:val="Balloon Text"/>
    <w:basedOn w:val="Normal"/>
    <w:link w:val="TextodebaloChar"/>
    <w:uiPriority w:val="99"/>
    <w:semiHidden/>
    <w:unhideWhenUsed/>
    <w:rsid w:val="0063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4617"/>
    <w:rPr>
      <w:rFonts w:ascii="Tahoma" w:hAnsi="Tahoma" w:cs="Tahoma"/>
      <w:sz w:val="16"/>
      <w:szCs w:val="16"/>
    </w:rPr>
  </w:style>
  <w:style w:type="paragraph" w:styleId="SemEspaamento">
    <w:name w:val="No Spacing"/>
    <w:aliases w:val="Normal com numeração"/>
    <w:basedOn w:val="PargrafodaLista"/>
    <w:autoRedefine/>
    <w:uiPriority w:val="1"/>
    <w:qFormat/>
    <w:rsid w:val="00990E1C"/>
    <w:pPr>
      <w:spacing w:after="80"/>
      <w:ind w:left="0"/>
      <w:contextualSpacing w:val="0"/>
      <w:jc w:val="both"/>
    </w:pPr>
    <w:rPr>
      <w:rFonts w:eastAsia="Times New Roman"/>
      <w:b/>
      <w:bCs/>
      <w:color w:val="000000" w:themeColor="text1"/>
      <w:sz w:val="23"/>
      <w:szCs w:val="21"/>
    </w:rPr>
  </w:style>
  <w:style w:type="paragraph" w:styleId="PargrafodaLista">
    <w:name w:val="List Paragraph"/>
    <w:basedOn w:val="Normal"/>
    <w:uiPriority w:val="34"/>
    <w:qFormat/>
    <w:rsid w:val="00851D40"/>
    <w:pPr>
      <w:ind w:left="720"/>
      <w:contextualSpacing/>
    </w:pPr>
  </w:style>
  <w:style w:type="character" w:styleId="Hyperlink">
    <w:name w:val="Hyperlink"/>
    <w:unhideWhenUsed/>
    <w:rsid w:val="00B17688"/>
    <w:rPr>
      <w:color w:val="0000FF"/>
      <w:u w:val="single"/>
    </w:rPr>
  </w:style>
  <w:style w:type="paragraph" w:styleId="Textodenotaderodap">
    <w:name w:val="footnote text"/>
    <w:basedOn w:val="Normal"/>
    <w:link w:val="TextodenotaderodapChar"/>
    <w:unhideWhenUsed/>
    <w:rsid w:val="00B17688"/>
    <w:pPr>
      <w:spacing w:after="0" w:line="240" w:lineRule="auto"/>
      <w:jc w:val="both"/>
    </w:pPr>
    <w:rPr>
      <w:rFonts w:cs="Times New Roman"/>
      <w:sz w:val="20"/>
      <w:szCs w:val="20"/>
    </w:rPr>
  </w:style>
  <w:style w:type="character" w:customStyle="1" w:styleId="TextodenotaderodapChar">
    <w:name w:val="Texto de nota de rodapé Char"/>
    <w:basedOn w:val="Fontepargpadro"/>
    <w:link w:val="Textodenotaderodap"/>
    <w:uiPriority w:val="99"/>
    <w:rsid w:val="00B17688"/>
    <w:rPr>
      <w:rFonts w:ascii="Calibri" w:eastAsia="Calibri" w:hAnsi="Calibri" w:cs="Times New Roman"/>
      <w:sz w:val="20"/>
      <w:szCs w:val="20"/>
    </w:rPr>
  </w:style>
  <w:style w:type="character" w:styleId="Refdenotaderodap">
    <w:name w:val="footnote reference"/>
    <w:basedOn w:val="Fontepargpadro"/>
    <w:uiPriority w:val="99"/>
    <w:semiHidden/>
    <w:unhideWhenUsed/>
    <w:rsid w:val="00B17688"/>
    <w:rPr>
      <w:vertAlign w:val="superscript"/>
    </w:rPr>
  </w:style>
  <w:style w:type="character" w:styleId="nfase">
    <w:name w:val="Emphasis"/>
    <w:basedOn w:val="Fontepargpadro"/>
    <w:uiPriority w:val="20"/>
    <w:qFormat/>
    <w:rsid w:val="006967B7"/>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oPendente">
    <w:name w:val="Unresolved Mention"/>
    <w:basedOn w:val="Fontepargpadro"/>
    <w:uiPriority w:val="99"/>
    <w:semiHidden/>
    <w:unhideWhenUsed/>
    <w:rsid w:val="00EC329F"/>
    <w:rPr>
      <w:color w:val="605E5C"/>
      <w:shd w:val="clear" w:color="auto" w:fill="E1DFDD"/>
    </w:rPr>
  </w:style>
  <w:style w:type="paragraph" w:styleId="Corpodetexto">
    <w:name w:val="Body Text"/>
    <w:basedOn w:val="Normal"/>
    <w:link w:val="CorpodetextoChar"/>
    <w:rsid w:val="00B450E9"/>
    <w:pPr>
      <w:suppressAutoHyphens/>
      <w:spacing w:after="0" w:line="240" w:lineRule="auto"/>
      <w:jc w:val="both"/>
    </w:pPr>
    <w:rPr>
      <w:rFonts w:ascii="Times New Roman" w:eastAsia="Times New Roman" w:hAnsi="Times New Roman" w:cs="Times New Roman"/>
      <w:b/>
      <w:sz w:val="24"/>
      <w:szCs w:val="20"/>
      <w:lang w:eastAsia="ar-SA"/>
    </w:rPr>
  </w:style>
  <w:style w:type="character" w:customStyle="1" w:styleId="CorpodetextoChar">
    <w:name w:val="Corpo de texto Char"/>
    <w:basedOn w:val="Fontepargpadro"/>
    <w:link w:val="Corpodetexto"/>
    <w:rsid w:val="00B450E9"/>
    <w:rPr>
      <w:rFonts w:ascii="Times New Roman" w:eastAsia="Times New Roman" w:hAnsi="Times New Roman" w:cs="Times New Roman"/>
      <w:b/>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9218">
      <w:bodyDiv w:val="1"/>
      <w:marLeft w:val="0"/>
      <w:marRight w:val="0"/>
      <w:marTop w:val="0"/>
      <w:marBottom w:val="0"/>
      <w:divBdr>
        <w:top w:val="none" w:sz="0" w:space="0" w:color="auto"/>
        <w:left w:val="none" w:sz="0" w:space="0" w:color="auto"/>
        <w:bottom w:val="none" w:sz="0" w:space="0" w:color="auto"/>
        <w:right w:val="none" w:sz="0" w:space="0" w:color="auto"/>
      </w:divBdr>
    </w:div>
    <w:div w:id="306328649">
      <w:bodyDiv w:val="1"/>
      <w:marLeft w:val="0"/>
      <w:marRight w:val="0"/>
      <w:marTop w:val="0"/>
      <w:marBottom w:val="0"/>
      <w:divBdr>
        <w:top w:val="none" w:sz="0" w:space="0" w:color="auto"/>
        <w:left w:val="none" w:sz="0" w:space="0" w:color="auto"/>
        <w:bottom w:val="none" w:sz="0" w:space="0" w:color="auto"/>
        <w:right w:val="none" w:sz="0" w:space="0" w:color="auto"/>
      </w:divBdr>
    </w:div>
    <w:div w:id="306471682">
      <w:bodyDiv w:val="1"/>
      <w:marLeft w:val="0"/>
      <w:marRight w:val="0"/>
      <w:marTop w:val="0"/>
      <w:marBottom w:val="0"/>
      <w:divBdr>
        <w:top w:val="none" w:sz="0" w:space="0" w:color="auto"/>
        <w:left w:val="none" w:sz="0" w:space="0" w:color="auto"/>
        <w:bottom w:val="none" w:sz="0" w:space="0" w:color="auto"/>
        <w:right w:val="none" w:sz="0" w:space="0" w:color="auto"/>
      </w:divBdr>
    </w:div>
    <w:div w:id="462357423">
      <w:bodyDiv w:val="1"/>
      <w:marLeft w:val="0"/>
      <w:marRight w:val="0"/>
      <w:marTop w:val="0"/>
      <w:marBottom w:val="0"/>
      <w:divBdr>
        <w:top w:val="none" w:sz="0" w:space="0" w:color="auto"/>
        <w:left w:val="none" w:sz="0" w:space="0" w:color="auto"/>
        <w:bottom w:val="none" w:sz="0" w:space="0" w:color="auto"/>
        <w:right w:val="none" w:sz="0" w:space="0" w:color="auto"/>
      </w:divBdr>
    </w:div>
    <w:div w:id="514225079">
      <w:bodyDiv w:val="1"/>
      <w:marLeft w:val="0"/>
      <w:marRight w:val="0"/>
      <w:marTop w:val="0"/>
      <w:marBottom w:val="0"/>
      <w:divBdr>
        <w:top w:val="none" w:sz="0" w:space="0" w:color="auto"/>
        <w:left w:val="none" w:sz="0" w:space="0" w:color="auto"/>
        <w:bottom w:val="none" w:sz="0" w:space="0" w:color="auto"/>
        <w:right w:val="none" w:sz="0" w:space="0" w:color="auto"/>
      </w:divBdr>
    </w:div>
    <w:div w:id="627976782">
      <w:bodyDiv w:val="1"/>
      <w:marLeft w:val="0"/>
      <w:marRight w:val="0"/>
      <w:marTop w:val="0"/>
      <w:marBottom w:val="0"/>
      <w:divBdr>
        <w:top w:val="none" w:sz="0" w:space="0" w:color="auto"/>
        <w:left w:val="none" w:sz="0" w:space="0" w:color="auto"/>
        <w:bottom w:val="none" w:sz="0" w:space="0" w:color="auto"/>
        <w:right w:val="none" w:sz="0" w:space="0" w:color="auto"/>
      </w:divBdr>
    </w:div>
    <w:div w:id="766385834">
      <w:bodyDiv w:val="1"/>
      <w:marLeft w:val="0"/>
      <w:marRight w:val="0"/>
      <w:marTop w:val="0"/>
      <w:marBottom w:val="0"/>
      <w:divBdr>
        <w:top w:val="none" w:sz="0" w:space="0" w:color="auto"/>
        <w:left w:val="none" w:sz="0" w:space="0" w:color="auto"/>
        <w:bottom w:val="none" w:sz="0" w:space="0" w:color="auto"/>
        <w:right w:val="none" w:sz="0" w:space="0" w:color="auto"/>
      </w:divBdr>
      <w:divsChild>
        <w:div w:id="2047295104">
          <w:marLeft w:val="0"/>
          <w:marRight w:val="0"/>
          <w:marTop w:val="0"/>
          <w:marBottom w:val="0"/>
          <w:divBdr>
            <w:top w:val="none" w:sz="0" w:space="0" w:color="auto"/>
            <w:left w:val="none" w:sz="0" w:space="0" w:color="auto"/>
            <w:bottom w:val="none" w:sz="0" w:space="0" w:color="auto"/>
            <w:right w:val="none" w:sz="0" w:space="0" w:color="auto"/>
          </w:divBdr>
        </w:div>
        <w:div w:id="1127629479">
          <w:marLeft w:val="0"/>
          <w:marRight w:val="0"/>
          <w:marTop w:val="0"/>
          <w:marBottom w:val="0"/>
          <w:divBdr>
            <w:top w:val="none" w:sz="0" w:space="0" w:color="auto"/>
            <w:left w:val="none" w:sz="0" w:space="0" w:color="auto"/>
            <w:bottom w:val="none" w:sz="0" w:space="0" w:color="auto"/>
            <w:right w:val="none" w:sz="0" w:space="0" w:color="auto"/>
          </w:divBdr>
        </w:div>
      </w:divsChild>
    </w:div>
    <w:div w:id="835387874">
      <w:bodyDiv w:val="1"/>
      <w:marLeft w:val="0"/>
      <w:marRight w:val="0"/>
      <w:marTop w:val="0"/>
      <w:marBottom w:val="0"/>
      <w:divBdr>
        <w:top w:val="none" w:sz="0" w:space="0" w:color="auto"/>
        <w:left w:val="none" w:sz="0" w:space="0" w:color="auto"/>
        <w:bottom w:val="none" w:sz="0" w:space="0" w:color="auto"/>
        <w:right w:val="none" w:sz="0" w:space="0" w:color="auto"/>
      </w:divBdr>
    </w:div>
    <w:div w:id="968702477">
      <w:bodyDiv w:val="1"/>
      <w:marLeft w:val="0"/>
      <w:marRight w:val="0"/>
      <w:marTop w:val="0"/>
      <w:marBottom w:val="0"/>
      <w:divBdr>
        <w:top w:val="none" w:sz="0" w:space="0" w:color="auto"/>
        <w:left w:val="none" w:sz="0" w:space="0" w:color="auto"/>
        <w:bottom w:val="none" w:sz="0" w:space="0" w:color="auto"/>
        <w:right w:val="none" w:sz="0" w:space="0" w:color="auto"/>
      </w:divBdr>
    </w:div>
    <w:div w:id="1041978096">
      <w:bodyDiv w:val="1"/>
      <w:marLeft w:val="0"/>
      <w:marRight w:val="0"/>
      <w:marTop w:val="0"/>
      <w:marBottom w:val="0"/>
      <w:divBdr>
        <w:top w:val="none" w:sz="0" w:space="0" w:color="auto"/>
        <w:left w:val="none" w:sz="0" w:space="0" w:color="auto"/>
        <w:bottom w:val="none" w:sz="0" w:space="0" w:color="auto"/>
        <w:right w:val="none" w:sz="0" w:space="0" w:color="auto"/>
      </w:divBdr>
    </w:div>
    <w:div w:id="1053121075">
      <w:bodyDiv w:val="1"/>
      <w:marLeft w:val="0"/>
      <w:marRight w:val="0"/>
      <w:marTop w:val="0"/>
      <w:marBottom w:val="0"/>
      <w:divBdr>
        <w:top w:val="none" w:sz="0" w:space="0" w:color="auto"/>
        <w:left w:val="none" w:sz="0" w:space="0" w:color="auto"/>
        <w:bottom w:val="none" w:sz="0" w:space="0" w:color="auto"/>
        <w:right w:val="none" w:sz="0" w:space="0" w:color="auto"/>
      </w:divBdr>
    </w:div>
    <w:div w:id="1156461134">
      <w:bodyDiv w:val="1"/>
      <w:marLeft w:val="0"/>
      <w:marRight w:val="0"/>
      <w:marTop w:val="0"/>
      <w:marBottom w:val="0"/>
      <w:divBdr>
        <w:top w:val="none" w:sz="0" w:space="0" w:color="auto"/>
        <w:left w:val="none" w:sz="0" w:space="0" w:color="auto"/>
        <w:bottom w:val="none" w:sz="0" w:space="0" w:color="auto"/>
        <w:right w:val="none" w:sz="0" w:space="0" w:color="auto"/>
      </w:divBdr>
    </w:div>
    <w:div w:id="1322007906">
      <w:bodyDiv w:val="1"/>
      <w:marLeft w:val="0"/>
      <w:marRight w:val="0"/>
      <w:marTop w:val="0"/>
      <w:marBottom w:val="0"/>
      <w:divBdr>
        <w:top w:val="none" w:sz="0" w:space="0" w:color="auto"/>
        <w:left w:val="none" w:sz="0" w:space="0" w:color="auto"/>
        <w:bottom w:val="none" w:sz="0" w:space="0" w:color="auto"/>
        <w:right w:val="none" w:sz="0" w:space="0" w:color="auto"/>
      </w:divBdr>
    </w:div>
    <w:div w:id="1472941449">
      <w:bodyDiv w:val="1"/>
      <w:marLeft w:val="0"/>
      <w:marRight w:val="0"/>
      <w:marTop w:val="0"/>
      <w:marBottom w:val="0"/>
      <w:divBdr>
        <w:top w:val="none" w:sz="0" w:space="0" w:color="auto"/>
        <w:left w:val="none" w:sz="0" w:space="0" w:color="auto"/>
        <w:bottom w:val="none" w:sz="0" w:space="0" w:color="auto"/>
        <w:right w:val="none" w:sz="0" w:space="0" w:color="auto"/>
      </w:divBdr>
    </w:div>
    <w:div w:id="1639721260">
      <w:bodyDiv w:val="1"/>
      <w:marLeft w:val="0"/>
      <w:marRight w:val="0"/>
      <w:marTop w:val="0"/>
      <w:marBottom w:val="0"/>
      <w:divBdr>
        <w:top w:val="none" w:sz="0" w:space="0" w:color="auto"/>
        <w:left w:val="none" w:sz="0" w:space="0" w:color="auto"/>
        <w:bottom w:val="none" w:sz="0" w:space="0" w:color="auto"/>
        <w:right w:val="none" w:sz="0" w:space="0" w:color="auto"/>
      </w:divBdr>
      <w:divsChild>
        <w:div w:id="1256744121">
          <w:marLeft w:val="0"/>
          <w:marRight w:val="0"/>
          <w:marTop w:val="0"/>
          <w:marBottom w:val="0"/>
          <w:divBdr>
            <w:top w:val="none" w:sz="0" w:space="0" w:color="auto"/>
            <w:left w:val="none" w:sz="0" w:space="0" w:color="auto"/>
            <w:bottom w:val="none" w:sz="0" w:space="0" w:color="auto"/>
            <w:right w:val="none" w:sz="0" w:space="0" w:color="auto"/>
          </w:divBdr>
        </w:div>
        <w:div w:id="763648038">
          <w:marLeft w:val="0"/>
          <w:marRight w:val="0"/>
          <w:marTop w:val="0"/>
          <w:marBottom w:val="225"/>
          <w:divBdr>
            <w:top w:val="none" w:sz="0" w:space="0" w:color="auto"/>
            <w:left w:val="none" w:sz="0" w:space="0" w:color="auto"/>
            <w:bottom w:val="none" w:sz="0" w:space="0" w:color="auto"/>
            <w:right w:val="none" w:sz="0" w:space="0" w:color="auto"/>
          </w:divBdr>
        </w:div>
        <w:div w:id="1256133883">
          <w:marLeft w:val="0"/>
          <w:marRight w:val="0"/>
          <w:marTop w:val="0"/>
          <w:marBottom w:val="0"/>
          <w:divBdr>
            <w:top w:val="none" w:sz="0" w:space="0" w:color="auto"/>
            <w:left w:val="none" w:sz="0" w:space="0" w:color="auto"/>
            <w:bottom w:val="none" w:sz="0" w:space="0" w:color="auto"/>
            <w:right w:val="none" w:sz="0" w:space="0" w:color="auto"/>
          </w:divBdr>
        </w:div>
      </w:divsChild>
    </w:div>
    <w:div w:id="1681934983">
      <w:bodyDiv w:val="1"/>
      <w:marLeft w:val="0"/>
      <w:marRight w:val="0"/>
      <w:marTop w:val="0"/>
      <w:marBottom w:val="0"/>
      <w:divBdr>
        <w:top w:val="none" w:sz="0" w:space="0" w:color="auto"/>
        <w:left w:val="none" w:sz="0" w:space="0" w:color="auto"/>
        <w:bottom w:val="none" w:sz="0" w:space="0" w:color="auto"/>
        <w:right w:val="none" w:sz="0" w:space="0" w:color="auto"/>
      </w:divBdr>
    </w:div>
    <w:div w:id="1685666482">
      <w:bodyDiv w:val="1"/>
      <w:marLeft w:val="0"/>
      <w:marRight w:val="0"/>
      <w:marTop w:val="0"/>
      <w:marBottom w:val="0"/>
      <w:divBdr>
        <w:top w:val="none" w:sz="0" w:space="0" w:color="auto"/>
        <w:left w:val="none" w:sz="0" w:space="0" w:color="auto"/>
        <w:bottom w:val="none" w:sz="0" w:space="0" w:color="auto"/>
        <w:right w:val="none" w:sz="0" w:space="0" w:color="auto"/>
      </w:divBdr>
    </w:div>
    <w:div w:id="1742872116">
      <w:bodyDiv w:val="1"/>
      <w:marLeft w:val="0"/>
      <w:marRight w:val="0"/>
      <w:marTop w:val="0"/>
      <w:marBottom w:val="0"/>
      <w:divBdr>
        <w:top w:val="none" w:sz="0" w:space="0" w:color="auto"/>
        <w:left w:val="none" w:sz="0" w:space="0" w:color="auto"/>
        <w:bottom w:val="none" w:sz="0" w:space="0" w:color="auto"/>
        <w:right w:val="none" w:sz="0" w:space="0" w:color="auto"/>
      </w:divBdr>
    </w:div>
    <w:div w:id="2021807760">
      <w:bodyDiv w:val="1"/>
      <w:marLeft w:val="0"/>
      <w:marRight w:val="0"/>
      <w:marTop w:val="0"/>
      <w:marBottom w:val="0"/>
      <w:divBdr>
        <w:top w:val="none" w:sz="0" w:space="0" w:color="auto"/>
        <w:left w:val="none" w:sz="0" w:space="0" w:color="auto"/>
        <w:bottom w:val="none" w:sz="0" w:space="0" w:color="auto"/>
        <w:right w:val="none" w:sz="0" w:space="0" w:color="auto"/>
      </w:divBdr>
      <w:divsChild>
        <w:div w:id="2044557146">
          <w:marLeft w:val="0"/>
          <w:marRight w:val="0"/>
          <w:marTop w:val="0"/>
          <w:marBottom w:val="0"/>
          <w:divBdr>
            <w:top w:val="none" w:sz="0" w:space="0" w:color="auto"/>
            <w:left w:val="none" w:sz="0" w:space="0" w:color="auto"/>
            <w:bottom w:val="none" w:sz="0" w:space="0" w:color="auto"/>
            <w:right w:val="none" w:sz="0" w:space="0" w:color="auto"/>
          </w:divBdr>
        </w:div>
        <w:div w:id="1964581778">
          <w:marLeft w:val="0"/>
          <w:marRight w:val="0"/>
          <w:marTop w:val="0"/>
          <w:marBottom w:val="225"/>
          <w:divBdr>
            <w:top w:val="none" w:sz="0" w:space="0" w:color="auto"/>
            <w:left w:val="none" w:sz="0" w:space="0" w:color="auto"/>
            <w:bottom w:val="none" w:sz="0" w:space="0" w:color="auto"/>
            <w:right w:val="none" w:sz="0" w:space="0" w:color="auto"/>
          </w:divBdr>
        </w:div>
        <w:div w:id="825786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0+Apm8Lc37eM1gSLwHFF/5CWnEA==">AMUW2mVtCl2vVyc5g54z7cV0mIs1ik1HqDFjBqg8Zovh8VsiLYI9rKKHp26lZvfbrfTfIRAH0W0h8WY3TA/GfaddAXNybxS0xdUhse0E5ArutzYXLNIUytI=</go:docsCustomData>
</go:gDocsCustomXmlDataStorage>
</file>

<file path=customXml/itemProps1.xml><?xml version="1.0" encoding="utf-8"?>
<ds:datastoreItem xmlns:ds="http://schemas.openxmlformats.org/officeDocument/2006/customXml" ds:itemID="{F7D24A3A-E541-4A7F-A9DB-34107785CB7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2225</Words>
  <Characters>12018</Characters>
  <Application>Microsoft Office Word</Application>
  <DocSecurity>0</DocSecurity>
  <Lines>100</Lines>
  <Paragraphs>28</Paragraphs>
  <ScaleCrop>false</ScaleCrop>
  <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Paulo Almeida</cp:lastModifiedBy>
  <cp:revision>64</cp:revision>
  <cp:lastPrinted>2025-07-11T23:13:00Z</cp:lastPrinted>
  <dcterms:created xsi:type="dcterms:W3CDTF">2025-09-19T17:16:00Z</dcterms:created>
  <dcterms:modified xsi:type="dcterms:W3CDTF">2025-12-12T20:12:00Z</dcterms:modified>
</cp:coreProperties>
</file>