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45B91" w14:textId="77777777" w:rsidR="007C526B" w:rsidRPr="00BA141C" w:rsidRDefault="00BE4420" w:rsidP="009E7E01">
      <w:pPr>
        <w:shd w:val="clear" w:color="auto" w:fill="EAF1DD" w:themeFill="accent3" w:themeFillTint="33"/>
        <w:jc w:val="center"/>
        <w:rPr>
          <w:rFonts w:ascii="Times New Roman" w:eastAsia="Times New Roman" w:hAnsi="Times New Roman" w:cs="Times New Roman"/>
          <w:b/>
          <w:smallCaps/>
          <w:sz w:val="24"/>
          <w:szCs w:val="24"/>
        </w:rPr>
      </w:pPr>
      <w:r w:rsidRPr="00BA141C">
        <w:rPr>
          <w:rFonts w:ascii="Times New Roman" w:eastAsia="Times New Roman" w:hAnsi="Times New Roman" w:cs="Times New Roman"/>
          <w:b/>
          <w:smallCaps/>
          <w:sz w:val="24"/>
          <w:szCs w:val="24"/>
        </w:rPr>
        <w:t>Portaria de Instauração</w:t>
      </w:r>
    </w:p>
    <w:p w14:paraId="3DF45B92" w14:textId="77777777" w:rsidR="007C526B" w:rsidRDefault="00BE4420" w:rsidP="009E7E01">
      <w:pPr>
        <w:shd w:val="clear" w:color="auto" w:fill="EAF1DD" w:themeFill="accent3" w:themeFillTint="33"/>
        <w:spacing w:after="120"/>
        <w:jc w:val="center"/>
        <w:rPr>
          <w:rFonts w:ascii="Times New Roman" w:eastAsia="Times New Roman" w:hAnsi="Times New Roman" w:cs="Times New Roman"/>
          <w:b/>
          <w:smallCaps/>
          <w:sz w:val="24"/>
          <w:szCs w:val="24"/>
          <w:u w:val="single"/>
        </w:rPr>
      </w:pPr>
      <w:r>
        <w:rPr>
          <w:rFonts w:ascii="Times New Roman" w:eastAsia="Times New Roman" w:hAnsi="Times New Roman" w:cs="Times New Roman"/>
          <w:b/>
          <w:smallCaps/>
          <w:sz w:val="24"/>
          <w:szCs w:val="24"/>
        </w:rPr>
        <w:t>Procedimento Administrativo de Tutela Coletiva</w:t>
      </w:r>
    </w:p>
    <w:p w14:paraId="3DF45B94" w14:textId="77777777" w:rsidR="005F3DC4" w:rsidRDefault="005F3DC4">
      <w:pPr>
        <w:pBdr>
          <w:top w:val="nil"/>
          <w:left w:val="nil"/>
          <w:bottom w:val="nil"/>
          <w:right w:val="nil"/>
          <w:between w:val="nil"/>
        </w:pBdr>
        <w:spacing w:after="80"/>
        <w:jc w:val="both"/>
        <w:rPr>
          <w:rFonts w:ascii="Times New Roman" w:eastAsia="Times New Roman" w:hAnsi="Times New Roman" w:cs="Times New Roman"/>
          <w:b/>
          <w:color w:val="000000"/>
          <w:sz w:val="23"/>
          <w:szCs w:val="23"/>
        </w:rPr>
      </w:pPr>
    </w:p>
    <w:p w14:paraId="3DF45B95" w14:textId="7A1022FE" w:rsidR="00C52235" w:rsidRPr="00C52235" w:rsidRDefault="00BE4420" w:rsidP="00BA141C">
      <w:pPr>
        <w:pBdr>
          <w:top w:val="nil"/>
          <w:left w:val="nil"/>
          <w:bottom w:val="nil"/>
          <w:right w:val="nil"/>
          <w:between w:val="nil"/>
        </w:pBdr>
        <w:shd w:val="clear" w:color="auto" w:fill="EAF1DD" w:themeFill="accent3" w:themeFillTint="33"/>
        <w:spacing w:after="80"/>
        <w:jc w:val="both"/>
        <w:rPr>
          <w:rFonts w:ascii="Times New Roman" w:eastAsia="Times New Roman" w:hAnsi="Times New Roman" w:cs="Times New Roman"/>
          <w:b/>
          <w:color w:val="000000"/>
          <w:sz w:val="24"/>
          <w:szCs w:val="24"/>
        </w:rPr>
      </w:pPr>
      <w:r w:rsidRPr="00BA141C">
        <w:rPr>
          <w:rFonts w:ascii="Times New Roman" w:eastAsia="Times New Roman" w:hAnsi="Times New Roman" w:cs="Times New Roman"/>
          <w:b/>
          <w:color w:val="000000"/>
          <w:sz w:val="24"/>
          <w:szCs w:val="24"/>
        </w:rPr>
        <w:t>PTAC nº</w:t>
      </w:r>
      <w:r w:rsidR="0029115F" w:rsidRPr="00BA141C">
        <w:rPr>
          <w:rFonts w:ascii="Times New Roman" w:eastAsia="Times New Roman" w:hAnsi="Times New Roman" w:cs="Times New Roman"/>
          <w:b/>
          <w:sz w:val="24"/>
          <w:szCs w:val="24"/>
        </w:rPr>
        <w:t xml:space="preserve"> </w:t>
      </w:r>
      <w:r w:rsidR="00E261A8" w:rsidRPr="009E7E01">
        <w:rPr>
          <w:rFonts w:ascii="Times New Roman" w:eastAsia="Times New Roman" w:hAnsi="Times New Roman" w:cs="Times New Roman"/>
          <w:b/>
          <w:color w:val="EE0000"/>
          <w:sz w:val="24"/>
          <w:szCs w:val="24"/>
        </w:rPr>
        <w:t>XX/XXXX</w:t>
      </w:r>
      <w:r w:rsidR="00EB6AA2">
        <w:rPr>
          <w:rFonts w:ascii="Times New Roman" w:eastAsia="Times New Roman" w:hAnsi="Times New Roman" w:cs="Times New Roman"/>
          <w:b/>
          <w:color w:val="EE0000"/>
          <w:sz w:val="24"/>
          <w:szCs w:val="24"/>
        </w:rPr>
        <w:t xml:space="preserve"> – Solicitar </w:t>
      </w:r>
      <w:r w:rsidR="005131AC">
        <w:rPr>
          <w:rFonts w:ascii="Times New Roman" w:eastAsia="Times New Roman" w:hAnsi="Times New Roman" w:cs="Times New Roman"/>
          <w:b/>
          <w:color w:val="EE0000"/>
          <w:sz w:val="24"/>
          <w:szCs w:val="24"/>
        </w:rPr>
        <w:t>n</w:t>
      </w:r>
      <w:r w:rsidR="00EB6AA2">
        <w:rPr>
          <w:rFonts w:ascii="Times New Roman" w:eastAsia="Times New Roman" w:hAnsi="Times New Roman" w:cs="Times New Roman"/>
          <w:b/>
          <w:color w:val="EE0000"/>
          <w:sz w:val="24"/>
          <w:szCs w:val="24"/>
        </w:rPr>
        <w:t>umeração</w:t>
      </w:r>
      <w:r w:rsidR="005131AC">
        <w:rPr>
          <w:rFonts w:ascii="Times New Roman" w:eastAsia="Times New Roman" w:hAnsi="Times New Roman" w:cs="Times New Roman"/>
          <w:b/>
          <w:color w:val="EE0000"/>
          <w:sz w:val="24"/>
          <w:szCs w:val="24"/>
        </w:rPr>
        <w:t xml:space="preserve"> previamente</w:t>
      </w:r>
      <w:r w:rsidR="00EB6AA2">
        <w:rPr>
          <w:rFonts w:ascii="Times New Roman" w:eastAsia="Times New Roman" w:hAnsi="Times New Roman" w:cs="Times New Roman"/>
          <w:b/>
          <w:color w:val="EE0000"/>
          <w:sz w:val="24"/>
          <w:szCs w:val="24"/>
        </w:rPr>
        <w:t xml:space="preserve"> à CETUC</w:t>
      </w:r>
      <w:r w:rsidR="00D4395B">
        <w:rPr>
          <w:rFonts w:ascii="Times New Roman" w:eastAsia="Times New Roman" w:hAnsi="Times New Roman" w:cs="Times New Roman"/>
          <w:b/>
          <w:color w:val="EE0000"/>
          <w:sz w:val="24"/>
          <w:szCs w:val="24"/>
        </w:rPr>
        <w:t xml:space="preserve"> (Manual anexo)</w:t>
      </w:r>
    </w:p>
    <w:p w14:paraId="3DF45B96" w14:textId="77777777" w:rsidR="006119A2" w:rsidRDefault="006119A2">
      <w:pPr>
        <w:spacing w:after="120" w:line="360" w:lineRule="auto"/>
        <w:jc w:val="both"/>
        <w:rPr>
          <w:rFonts w:ascii="Times New Roman" w:eastAsia="Times New Roman" w:hAnsi="Times New Roman" w:cs="Times New Roman"/>
          <w:b/>
          <w:sz w:val="24"/>
          <w:szCs w:val="24"/>
        </w:rPr>
      </w:pPr>
    </w:p>
    <w:p w14:paraId="3DF45B99" w14:textId="3B9A65DB" w:rsidR="00C52235" w:rsidRDefault="00BE4420" w:rsidP="00DB183C">
      <w:pPr>
        <w:pBdr>
          <w:top w:val="nil"/>
          <w:left w:val="nil"/>
          <w:bottom w:val="nil"/>
          <w:right w:val="nil"/>
          <w:between w:val="nil"/>
        </w:pBdr>
        <w:spacing w:after="80" w:line="360" w:lineRule="auto"/>
        <w:ind w:left="1701"/>
        <w:jc w:val="both"/>
        <w:rPr>
          <w:rFonts w:ascii="Times New Roman" w:eastAsia="Times New Roman" w:hAnsi="Times New Roman" w:cs="Times New Roman"/>
          <w:b/>
          <w:color w:val="000000" w:themeColor="text1"/>
          <w:sz w:val="24"/>
          <w:szCs w:val="24"/>
        </w:rPr>
      </w:pPr>
      <w:r w:rsidRPr="00D50E49">
        <w:rPr>
          <w:rFonts w:ascii="Times New Roman" w:eastAsia="Times New Roman" w:hAnsi="Times New Roman" w:cs="Times New Roman"/>
          <w:b/>
          <w:color w:val="000000" w:themeColor="text1"/>
          <w:sz w:val="24"/>
          <w:szCs w:val="24"/>
        </w:rPr>
        <w:t xml:space="preserve">EMENTA: </w:t>
      </w:r>
      <w:r w:rsidR="00E261A8">
        <w:rPr>
          <w:rFonts w:ascii="Times New Roman" w:eastAsia="Times New Roman" w:hAnsi="Times New Roman" w:cs="Times New Roman"/>
          <w:bCs/>
          <w:color w:val="000000" w:themeColor="text1"/>
          <w:sz w:val="24"/>
          <w:szCs w:val="24"/>
        </w:rPr>
        <w:t xml:space="preserve">Ausência de Lei Municipal regulamentando sistema de cotas raciais em concursos </w:t>
      </w:r>
      <w:r w:rsidR="009E7E01">
        <w:rPr>
          <w:rFonts w:ascii="Times New Roman" w:eastAsia="Times New Roman" w:hAnsi="Times New Roman" w:cs="Times New Roman"/>
          <w:bCs/>
          <w:color w:val="000000" w:themeColor="text1"/>
          <w:sz w:val="24"/>
          <w:szCs w:val="24"/>
        </w:rPr>
        <w:t xml:space="preserve">e processos seletivos no </w:t>
      </w:r>
      <w:r w:rsidR="00573315">
        <w:rPr>
          <w:rFonts w:ascii="Times New Roman" w:eastAsia="Times New Roman" w:hAnsi="Times New Roman" w:cs="Times New Roman"/>
          <w:bCs/>
          <w:color w:val="000000" w:themeColor="text1"/>
          <w:sz w:val="24"/>
          <w:szCs w:val="24"/>
        </w:rPr>
        <w:t>âmbito da Administração Pública local direta e indireta</w:t>
      </w:r>
      <w:r w:rsidR="00E261A8">
        <w:rPr>
          <w:rFonts w:ascii="Times New Roman" w:eastAsia="Times New Roman" w:hAnsi="Times New Roman" w:cs="Times New Roman"/>
          <w:bCs/>
          <w:color w:val="000000" w:themeColor="text1"/>
          <w:sz w:val="24"/>
          <w:szCs w:val="24"/>
        </w:rPr>
        <w:t xml:space="preserve">. </w:t>
      </w:r>
      <w:r w:rsidR="00E261A8" w:rsidRPr="00D50E49">
        <w:rPr>
          <w:rFonts w:ascii="Times New Roman" w:eastAsia="Times New Roman" w:hAnsi="Times New Roman" w:cs="Times New Roman"/>
          <w:bCs/>
          <w:color w:val="000000" w:themeColor="text1"/>
          <w:sz w:val="24"/>
          <w:szCs w:val="24"/>
        </w:rPr>
        <w:t xml:space="preserve">Caráter fundamental das ações afirmativas para o </w:t>
      </w:r>
      <w:r w:rsidR="005131AC">
        <w:rPr>
          <w:rFonts w:ascii="Times New Roman" w:eastAsia="Times New Roman" w:hAnsi="Times New Roman" w:cs="Times New Roman"/>
          <w:bCs/>
          <w:color w:val="000000" w:themeColor="text1"/>
          <w:sz w:val="24"/>
          <w:szCs w:val="24"/>
        </w:rPr>
        <w:t>combate</w:t>
      </w:r>
      <w:r w:rsidR="00E261A8" w:rsidRPr="00D50E49">
        <w:rPr>
          <w:rFonts w:ascii="Times New Roman" w:eastAsia="Times New Roman" w:hAnsi="Times New Roman" w:cs="Times New Roman"/>
          <w:bCs/>
          <w:color w:val="000000" w:themeColor="text1"/>
          <w:sz w:val="24"/>
          <w:szCs w:val="24"/>
        </w:rPr>
        <w:t xml:space="preserve"> à discriminação e a promoção da igualdade racial. Convenção Interamericana Contra o Racismo, a Discriminação Racial e Formas Correlatas de Intolerância - internalizada conforme rito de emendas constitucionais (art. 5º, § 3º, CRFB/1988).</w:t>
      </w:r>
      <w:r w:rsidR="00E261A8">
        <w:rPr>
          <w:rFonts w:ascii="Times New Roman" w:eastAsia="Times New Roman" w:hAnsi="Times New Roman" w:cs="Times New Roman"/>
          <w:bCs/>
          <w:color w:val="000000" w:themeColor="text1"/>
          <w:sz w:val="24"/>
          <w:szCs w:val="24"/>
        </w:rPr>
        <w:t xml:space="preserve"> Estatuto da Igualdade Racial de Minas Gerais </w:t>
      </w:r>
      <w:r w:rsidR="005131AC">
        <w:rPr>
          <w:rFonts w:ascii="Times New Roman" w:eastAsia="Times New Roman" w:hAnsi="Times New Roman" w:cs="Times New Roman"/>
          <w:bCs/>
          <w:color w:val="000000" w:themeColor="text1"/>
          <w:sz w:val="24"/>
          <w:szCs w:val="24"/>
        </w:rPr>
        <w:t>-</w:t>
      </w:r>
      <w:r w:rsidR="00E261A8">
        <w:rPr>
          <w:rFonts w:ascii="Times New Roman" w:eastAsia="Times New Roman" w:hAnsi="Times New Roman" w:cs="Times New Roman"/>
          <w:bCs/>
          <w:color w:val="000000" w:themeColor="text1"/>
          <w:sz w:val="24"/>
          <w:szCs w:val="24"/>
        </w:rPr>
        <w:t xml:space="preserve"> Lei </w:t>
      </w:r>
      <w:r w:rsidR="005131AC">
        <w:rPr>
          <w:rFonts w:ascii="Times New Roman" w:eastAsia="Times New Roman" w:hAnsi="Times New Roman" w:cs="Times New Roman"/>
          <w:bCs/>
          <w:color w:val="000000" w:themeColor="text1"/>
          <w:sz w:val="24"/>
          <w:szCs w:val="24"/>
        </w:rPr>
        <w:t xml:space="preserve">Estadual </w:t>
      </w:r>
      <w:r w:rsidR="00E261A8">
        <w:rPr>
          <w:rFonts w:ascii="Times New Roman" w:eastAsia="Times New Roman" w:hAnsi="Times New Roman" w:cs="Times New Roman"/>
          <w:bCs/>
          <w:color w:val="000000" w:themeColor="text1"/>
          <w:sz w:val="24"/>
          <w:szCs w:val="24"/>
        </w:rPr>
        <w:t>n. 25.150/2025. Disposições da Constituição Federal e da Constituição do Estado de Minas Gerais. Providências para a efetivação da norma constitucional e concretização dos direitos fundamentais.</w:t>
      </w:r>
    </w:p>
    <w:p w14:paraId="55A918D1" w14:textId="77777777" w:rsidR="00DB183C" w:rsidRPr="00DB183C" w:rsidRDefault="00DB183C" w:rsidP="00DB183C">
      <w:pPr>
        <w:pBdr>
          <w:top w:val="nil"/>
          <w:left w:val="nil"/>
          <w:bottom w:val="nil"/>
          <w:right w:val="nil"/>
          <w:between w:val="nil"/>
        </w:pBdr>
        <w:spacing w:after="80" w:line="360" w:lineRule="auto"/>
        <w:ind w:left="1701"/>
        <w:jc w:val="both"/>
        <w:rPr>
          <w:rFonts w:ascii="Times New Roman" w:eastAsia="Times New Roman" w:hAnsi="Times New Roman" w:cs="Times New Roman"/>
          <w:b/>
          <w:color w:val="000000" w:themeColor="text1"/>
          <w:sz w:val="24"/>
          <w:szCs w:val="24"/>
        </w:rPr>
      </w:pPr>
    </w:p>
    <w:p w14:paraId="3DF45B9A" w14:textId="6DB602AA" w:rsidR="007C526B" w:rsidRDefault="00BE442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Defensoria Pública do Estado de Minas Gerais</w:t>
      </w:r>
      <w:r>
        <w:rPr>
          <w:rFonts w:ascii="Times New Roman" w:eastAsia="Times New Roman" w:hAnsi="Times New Roman" w:cs="Times New Roman"/>
          <w:sz w:val="24"/>
          <w:szCs w:val="24"/>
        </w:rPr>
        <w:t xml:space="preserve">, no exercício das atribuições constitucionais e legais que lhe são conferidas pelo art. 5°, inciso LXXIV e art. 134, ambos da Constituição da República Federativa do Brasil, c/c art. 129, da Constituição do Estado de Minas Gerais, c/c art. 1º e art. 4°, </w:t>
      </w:r>
      <w:r w:rsidR="00917EE6">
        <w:rPr>
          <w:rFonts w:ascii="Times New Roman" w:eastAsia="Times New Roman" w:hAnsi="Times New Roman" w:cs="Times New Roman"/>
          <w:sz w:val="24"/>
          <w:szCs w:val="24"/>
        </w:rPr>
        <w:t xml:space="preserve">incisos </w:t>
      </w:r>
      <w:r>
        <w:rPr>
          <w:rFonts w:ascii="Times New Roman" w:eastAsia="Times New Roman" w:hAnsi="Times New Roman" w:cs="Times New Roman"/>
          <w:sz w:val="24"/>
          <w:szCs w:val="24"/>
        </w:rPr>
        <w:t>I, II, III, VII, VIII, X e XI, da Lei Complementar Federal nº 80/94, c/c art. 5°,</w:t>
      </w:r>
      <w:r w:rsidR="00917EE6">
        <w:rPr>
          <w:rFonts w:ascii="Times New Roman" w:eastAsia="Times New Roman" w:hAnsi="Times New Roman" w:cs="Times New Roman"/>
          <w:sz w:val="24"/>
          <w:szCs w:val="24"/>
        </w:rPr>
        <w:t xml:space="preserve"> incisos</w:t>
      </w:r>
      <w:r>
        <w:rPr>
          <w:rFonts w:ascii="Times New Roman" w:eastAsia="Times New Roman" w:hAnsi="Times New Roman" w:cs="Times New Roman"/>
          <w:sz w:val="24"/>
          <w:szCs w:val="24"/>
        </w:rPr>
        <w:t xml:space="preserve"> I e IX, da Lei Complementar Estadual 65/2003, e demais dispositivos pertinentes, nos termos da Deliberação nº 211/2021, do Conselho Superior da Defensoria Pública de Minas Gerais, por intermédio dos </w:t>
      </w:r>
      <w:r w:rsidR="00E87750">
        <w:rPr>
          <w:rFonts w:ascii="Times New Roman" w:eastAsia="Times New Roman" w:hAnsi="Times New Roman" w:cs="Times New Roman"/>
          <w:sz w:val="24"/>
          <w:szCs w:val="24"/>
        </w:rPr>
        <w:t>órgãos de execução</w:t>
      </w:r>
      <w:r>
        <w:rPr>
          <w:rFonts w:ascii="Times New Roman" w:eastAsia="Times New Roman" w:hAnsi="Times New Roman" w:cs="Times New Roman"/>
          <w:sz w:val="24"/>
          <w:szCs w:val="24"/>
        </w:rPr>
        <w:t xml:space="preserve"> signatários, instaura Procedimento Administrativo de Tutela Coletiva (PTAC) a fim </w:t>
      </w:r>
      <w:r w:rsidR="00C01579">
        <w:rPr>
          <w:rFonts w:ascii="Times New Roman" w:eastAsia="Times New Roman" w:hAnsi="Times New Roman" w:cs="Times New Roman"/>
          <w:sz w:val="24"/>
          <w:szCs w:val="24"/>
        </w:rPr>
        <w:t>de adotar as medidas extrajudiciais e judiciais cabíveis para garantir a</w:t>
      </w:r>
      <w:r w:rsidR="002535A7">
        <w:rPr>
          <w:rFonts w:ascii="Times New Roman" w:eastAsia="Times New Roman" w:hAnsi="Times New Roman" w:cs="Times New Roman"/>
          <w:sz w:val="24"/>
          <w:szCs w:val="24"/>
        </w:rPr>
        <w:t xml:space="preserve"> </w:t>
      </w:r>
      <w:r w:rsidR="00E73395">
        <w:rPr>
          <w:rFonts w:ascii="Times New Roman" w:eastAsia="Times New Roman" w:hAnsi="Times New Roman" w:cs="Times New Roman"/>
          <w:sz w:val="24"/>
          <w:szCs w:val="24"/>
        </w:rPr>
        <w:t xml:space="preserve">colmatação da lacuna legislativa </w:t>
      </w:r>
      <w:r w:rsidR="006E5369">
        <w:rPr>
          <w:rFonts w:ascii="Times New Roman" w:eastAsia="Times New Roman" w:hAnsi="Times New Roman" w:cs="Times New Roman"/>
          <w:sz w:val="24"/>
          <w:szCs w:val="24"/>
        </w:rPr>
        <w:t>n</w:t>
      </w:r>
      <w:r w:rsidR="00E261A8">
        <w:rPr>
          <w:rFonts w:ascii="Times New Roman" w:eastAsia="Times New Roman" w:hAnsi="Times New Roman" w:cs="Times New Roman"/>
          <w:sz w:val="24"/>
          <w:szCs w:val="24"/>
        </w:rPr>
        <w:t xml:space="preserve">o âmbito do </w:t>
      </w:r>
      <w:r w:rsidR="00E261A8" w:rsidRPr="005131AC">
        <w:rPr>
          <w:rFonts w:ascii="Times New Roman" w:eastAsia="Times New Roman" w:hAnsi="Times New Roman" w:cs="Times New Roman"/>
          <w:color w:val="EE0000"/>
          <w:sz w:val="24"/>
          <w:szCs w:val="24"/>
        </w:rPr>
        <w:t>Município de XXX</w:t>
      </w:r>
      <w:r w:rsidR="005131AC">
        <w:rPr>
          <w:rFonts w:ascii="Times New Roman" w:eastAsia="Times New Roman" w:hAnsi="Times New Roman" w:cs="Times New Roman"/>
          <w:color w:val="EE0000"/>
          <w:sz w:val="24"/>
          <w:szCs w:val="24"/>
        </w:rPr>
        <w:t>XXX</w:t>
      </w:r>
      <w:r w:rsidR="006E5369">
        <w:rPr>
          <w:rFonts w:ascii="Times New Roman" w:eastAsia="Times New Roman" w:hAnsi="Times New Roman" w:cs="Times New Roman"/>
          <w:sz w:val="24"/>
          <w:szCs w:val="24"/>
        </w:rPr>
        <w:t xml:space="preserve"> </w:t>
      </w:r>
      <w:r w:rsidR="00E73395">
        <w:rPr>
          <w:rFonts w:ascii="Times New Roman" w:eastAsia="Times New Roman" w:hAnsi="Times New Roman" w:cs="Times New Roman"/>
          <w:sz w:val="24"/>
          <w:szCs w:val="24"/>
        </w:rPr>
        <w:t>e assegurar</w:t>
      </w:r>
      <w:r w:rsidR="00C01579">
        <w:rPr>
          <w:rFonts w:ascii="Times New Roman" w:eastAsia="Times New Roman" w:hAnsi="Times New Roman" w:cs="Times New Roman"/>
          <w:sz w:val="24"/>
          <w:szCs w:val="24"/>
        </w:rPr>
        <w:t xml:space="preserve"> </w:t>
      </w:r>
      <w:r w:rsidR="00E73395">
        <w:rPr>
          <w:rFonts w:ascii="Times New Roman" w:eastAsia="Times New Roman" w:hAnsi="Times New Roman" w:cs="Times New Roman"/>
          <w:sz w:val="24"/>
          <w:szCs w:val="24"/>
        </w:rPr>
        <w:t>a</w:t>
      </w:r>
      <w:r w:rsidR="008627E4">
        <w:rPr>
          <w:rFonts w:ascii="Times New Roman" w:eastAsia="Times New Roman" w:hAnsi="Times New Roman" w:cs="Times New Roman"/>
          <w:sz w:val="24"/>
          <w:szCs w:val="24"/>
        </w:rPr>
        <w:t xml:space="preserve"> efetividade das normas constitucionais que </w:t>
      </w:r>
      <w:r w:rsidR="005131AC">
        <w:rPr>
          <w:rFonts w:ascii="Times New Roman" w:eastAsia="Times New Roman" w:hAnsi="Times New Roman" w:cs="Times New Roman"/>
          <w:sz w:val="24"/>
          <w:szCs w:val="24"/>
        </w:rPr>
        <w:t>preveem</w:t>
      </w:r>
      <w:r w:rsidR="008627E4">
        <w:rPr>
          <w:rFonts w:ascii="Times New Roman" w:eastAsia="Times New Roman" w:hAnsi="Times New Roman" w:cs="Times New Roman"/>
          <w:sz w:val="24"/>
          <w:szCs w:val="24"/>
        </w:rPr>
        <w:t xml:space="preserve"> o direito à</w:t>
      </w:r>
      <w:r w:rsidR="00C01579">
        <w:rPr>
          <w:rFonts w:ascii="Times New Roman" w:eastAsia="Times New Roman" w:hAnsi="Times New Roman" w:cs="Times New Roman"/>
          <w:sz w:val="24"/>
          <w:szCs w:val="24"/>
        </w:rPr>
        <w:t xml:space="preserve"> reserva de vagas a </w:t>
      </w:r>
      <w:r w:rsidR="00E261A8">
        <w:rPr>
          <w:rFonts w:ascii="Times New Roman" w:eastAsia="Times New Roman" w:hAnsi="Times New Roman" w:cs="Times New Roman"/>
          <w:sz w:val="24"/>
          <w:szCs w:val="24"/>
        </w:rPr>
        <w:t>minorias</w:t>
      </w:r>
      <w:r w:rsidR="00E261A8" w:rsidRPr="00E261A8">
        <w:rPr>
          <w:rFonts w:ascii="Times New Roman" w:eastAsia="Times New Roman" w:hAnsi="Times New Roman" w:cs="Times New Roman"/>
          <w:sz w:val="24"/>
          <w:szCs w:val="24"/>
        </w:rPr>
        <w:t xml:space="preserve"> étnico-raciais</w:t>
      </w:r>
      <w:r w:rsidR="00E261A8">
        <w:rPr>
          <w:rFonts w:ascii="Times New Roman" w:eastAsia="Times New Roman" w:hAnsi="Times New Roman" w:cs="Times New Roman"/>
          <w:sz w:val="24"/>
          <w:szCs w:val="24"/>
        </w:rPr>
        <w:t xml:space="preserve"> </w:t>
      </w:r>
      <w:r w:rsidR="00C01579">
        <w:rPr>
          <w:rFonts w:ascii="Times New Roman" w:eastAsia="Times New Roman" w:hAnsi="Times New Roman" w:cs="Times New Roman"/>
          <w:sz w:val="24"/>
          <w:szCs w:val="24"/>
        </w:rPr>
        <w:t>nos certames e seleções promovid</w:t>
      </w:r>
      <w:r w:rsidR="002535A7">
        <w:rPr>
          <w:rFonts w:ascii="Times New Roman" w:eastAsia="Times New Roman" w:hAnsi="Times New Roman" w:cs="Times New Roman"/>
          <w:sz w:val="24"/>
          <w:szCs w:val="24"/>
        </w:rPr>
        <w:t xml:space="preserve">os </w:t>
      </w:r>
      <w:r w:rsidR="002A3B18">
        <w:rPr>
          <w:rFonts w:ascii="Times New Roman" w:eastAsia="Times New Roman" w:hAnsi="Times New Roman" w:cs="Times New Roman"/>
          <w:sz w:val="24"/>
          <w:szCs w:val="24"/>
        </w:rPr>
        <w:t>pela Administração Pública Direta e Indireta</w:t>
      </w:r>
      <w:r w:rsidR="006E5369">
        <w:rPr>
          <w:rFonts w:ascii="Times New Roman" w:eastAsia="Times New Roman" w:hAnsi="Times New Roman" w:cs="Times New Roman"/>
          <w:sz w:val="24"/>
          <w:szCs w:val="24"/>
        </w:rPr>
        <w:t xml:space="preserve"> de todos os entes federativos</w:t>
      </w:r>
      <w:r w:rsidR="005131AC">
        <w:rPr>
          <w:rFonts w:ascii="Times New Roman" w:eastAsia="Times New Roman" w:hAnsi="Times New Roman" w:cs="Times New Roman"/>
          <w:sz w:val="24"/>
          <w:szCs w:val="24"/>
        </w:rPr>
        <w:t>.</w:t>
      </w:r>
    </w:p>
    <w:p w14:paraId="3DF45B9F" w14:textId="17807A9D" w:rsidR="007C526B" w:rsidRPr="00C30C38" w:rsidRDefault="00C30C38" w:rsidP="00C30C38">
      <w:pPr>
        <w:shd w:val="clear" w:color="auto" w:fill="F2F2F2" w:themeFill="background1" w:themeFillShade="F2"/>
        <w:spacing w:after="0" w:line="360" w:lineRule="auto"/>
        <w:jc w:val="both"/>
        <w:rPr>
          <w:rFonts w:ascii="Times New Roman" w:eastAsia="Times New Roman" w:hAnsi="Times New Roman" w:cs="Times New Roman"/>
          <w:smallCaps/>
          <w:color w:val="000000"/>
          <w:sz w:val="24"/>
          <w:szCs w:val="24"/>
        </w:rPr>
      </w:pPr>
      <w:r w:rsidRPr="00C30C38">
        <w:rPr>
          <w:rFonts w:ascii="Times New Roman" w:eastAsia="Times New Roman" w:hAnsi="Times New Roman" w:cs="Times New Roman"/>
          <w:b/>
          <w:smallCaps/>
          <w:color w:val="000000"/>
          <w:sz w:val="24"/>
          <w:szCs w:val="24"/>
        </w:rPr>
        <w:lastRenderedPageBreak/>
        <w:t>Síntese dos Fatos:</w:t>
      </w:r>
    </w:p>
    <w:p w14:paraId="078A9169" w14:textId="77777777" w:rsidR="005131AC" w:rsidRDefault="005131AC" w:rsidP="005131AC">
      <w:pPr>
        <w:pStyle w:val="Corpodetexto"/>
        <w:spacing w:before="240" w:after="240" w:line="360" w:lineRule="auto"/>
        <w:rPr>
          <w:b w:val="0"/>
          <w:bCs/>
        </w:rPr>
      </w:pPr>
      <w:r>
        <w:rPr>
          <w:b w:val="0"/>
          <w:bCs/>
        </w:rPr>
        <w:t xml:space="preserve">Desde 2024, a Defensoria Pública de Minas Gerais, por meio de sua Coordenadoria Estratégica de Tutela Coletiva (CETUC), vem sendo reiteradamente acionada por candidatas e candidatos autodeclarados pretos e pardos, bem como por associações e movimentos sociais atuantes na defesa dos direitos das minorias étnicas, para o </w:t>
      </w:r>
      <w:r w:rsidRPr="005131AC">
        <w:rPr>
          <w:b w:val="0"/>
          <w:bCs/>
        </w:rPr>
        <w:t>ajuizamento de Ações Civis Públicas voltadas a compelir o Estado de Minas Gerais a incluir cotas raciais em seus Editais de concursos públicos</w:t>
      </w:r>
      <w:r>
        <w:rPr>
          <w:b w:val="0"/>
          <w:bCs/>
        </w:rPr>
        <w:t>.</w:t>
      </w:r>
    </w:p>
    <w:p w14:paraId="393DDC9D" w14:textId="355D7E3A" w:rsidR="005131AC" w:rsidRDefault="005131AC" w:rsidP="005131AC">
      <w:pPr>
        <w:pStyle w:val="Corpodetexto"/>
        <w:spacing w:before="240" w:after="240" w:line="360" w:lineRule="auto"/>
        <w:rPr>
          <w:b w:val="0"/>
        </w:rPr>
      </w:pPr>
      <w:r>
        <w:rPr>
          <w:b w:val="0"/>
          <w:bCs/>
        </w:rPr>
        <w:t xml:space="preserve">Diante dessas provocações, foram ajuizadas demandas coletivas fundadas, em especial, na constatação de que </w:t>
      </w:r>
      <w:r>
        <w:rPr>
          <w:b w:val="0"/>
        </w:rPr>
        <w:t>o</w:t>
      </w:r>
      <w:r w:rsidRPr="000058C1">
        <w:rPr>
          <w:b w:val="0"/>
        </w:rPr>
        <w:t xml:space="preserve"> Brasil, ao longo de sua história, vivenciou cerca de 400 anos de um processo de escravização e reificação de pessoas negras. A abolição da escravatura, no entanto, não foi acompanhada de políticas distributivas de bens, oportunidades ou de acesso a serviços em favor </w:t>
      </w:r>
      <w:r w:rsidR="004B68B0">
        <w:rPr>
          <w:b w:val="0"/>
        </w:rPr>
        <w:t>dessa população</w:t>
      </w:r>
      <w:r w:rsidRPr="000058C1">
        <w:rPr>
          <w:b w:val="0"/>
        </w:rPr>
        <w:t>.</w:t>
      </w:r>
    </w:p>
    <w:p w14:paraId="6E92315C" w14:textId="615E912C" w:rsidR="00790878" w:rsidRPr="005131AC" w:rsidRDefault="00790878" w:rsidP="005131AC">
      <w:pPr>
        <w:pStyle w:val="Corpodetexto"/>
        <w:spacing w:before="240" w:after="240" w:line="360" w:lineRule="auto"/>
        <w:rPr>
          <w:b w:val="0"/>
          <w:bCs/>
        </w:rPr>
      </w:pPr>
      <w:r>
        <w:rPr>
          <w:b w:val="0"/>
        </w:rPr>
        <w:t xml:space="preserve">Além disso, </w:t>
      </w:r>
      <w:r w:rsidR="00271D40">
        <w:rPr>
          <w:b w:val="0"/>
        </w:rPr>
        <w:t>a</w:t>
      </w:r>
      <w:r w:rsidR="009E2BF4">
        <w:rPr>
          <w:b w:val="0"/>
        </w:rPr>
        <w:t xml:space="preserve"> invasão da América pelos colonizadores europeus</w:t>
      </w:r>
      <w:r w:rsidR="00271D40">
        <w:rPr>
          <w:b w:val="0"/>
        </w:rPr>
        <w:t xml:space="preserve"> foi marcada pelo extermínio e genocídio dos povos originários</w:t>
      </w:r>
      <w:r w:rsidR="008A5312">
        <w:rPr>
          <w:b w:val="0"/>
        </w:rPr>
        <w:t xml:space="preserve">. A perda de territórios </w:t>
      </w:r>
      <w:r w:rsidR="008145A8">
        <w:rPr>
          <w:b w:val="0"/>
        </w:rPr>
        <w:t>tradicionalmente ocupados</w:t>
      </w:r>
      <w:r w:rsidR="008A5312">
        <w:rPr>
          <w:b w:val="0"/>
        </w:rPr>
        <w:t xml:space="preserve">, a fome, </w:t>
      </w:r>
      <w:r w:rsidR="000E7F55">
        <w:rPr>
          <w:b w:val="0"/>
        </w:rPr>
        <w:t xml:space="preserve">a </w:t>
      </w:r>
      <w:r w:rsidR="008A5312">
        <w:rPr>
          <w:b w:val="0"/>
        </w:rPr>
        <w:t xml:space="preserve">escravização, </w:t>
      </w:r>
      <w:r w:rsidR="008145A8">
        <w:rPr>
          <w:b w:val="0"/>
        </w:rPr>
        <w:t xml:space="preserve">a contaminação </w:t>
      </w:r>
      <w:r w:rsidR="00356A8B">
        <w:rPr>
          <w:b w:val="0"/>
        </w:rPr>
        <w:t xml:space="preserve">e morte </w:t>
      </w:r>
      <w:r w:rsidR="008145A8">
        <w:rPr>
          <w:b w:val="0"/>
        </w:rPr>
        <w:t>por doenças</w:t>
      </w:r>
      <w:r w:rsidR="00FB630A">
        <w:rPr>
          <w:b w:val="0"/>
        </w:rPr>
        <w:t>, bem como</w:t>
      </w:r>
      <w:r w:rsidR="00356A8B">
        <w:rPr>
          <w:b w:val="0"/>
        </w:rPr>
        <w:t xml:space="preserve"> </w:t>
      </w:r>
      <w:r w:rsidR="00F61315">
        <w:rPr>
          <w:b w:val="0"/>
        </w:rPr>
        <w:t>a aculturação</w:t>
      </w:r>
      <w:r w:rsidR="00356A8B">
        <w:rPr>
          <w:b w:val="0"/>
        </w:rPr>
        <w:t xml:space="preserve"> </w:t>
      </w:r>
      <w:r w:rsidR="00F61315">
        <w:rPr>
          <w:b w:val="0"/>
        </w:rPr>
        <w:t>são algumas das violações praticadas contra as comunidades indígenas.</w:t>
      </w:r>
    </w:p>
    <w:p w14:paraId="15453C2B" w14:textId="581B5D96" w:rsidR="005131AC" w:rsidRDefault="005131AC" w:rsidP="005131AC">
      <w:pPr>
        <w:pStyle w:val="Corpodetexto"/>
        <w:spacing w:before="240" w:after="240" w:line="360" w:lineRule="auto"/>
        <w:rPr>
          <w:b w:val="0"/>
        </w:rPr>
      </w:pPr>
      <w:r w:rsidRPr="000058C1">
        <w:rPr>
          <w:b w:val="0"/>
        </w:rPr>
        <w:t>Esses fatores ligados à gênese da sociedade brasileira repercutem, ainda hoje, nos graves índices de desigualdade social, bem como na perpetuação de práticas discriminatórias em desfavor dessa minoria racial, o que conclama medidas enérgicas e inadiáveis de enfrentamento a essa marginalização.</w:t>
      </w:r>
    </w:p>
    <w:p w14:paraId="1C21FBE4" w14:textId="68F98FD4" w:rsidR="005131AC" w:rsidRDefault="00D4395B" w:rsidP="005131AC">
      <w:pPr>
        <w:pStyle w:val="Corpodetexto"/>
        <w:spacing w:before="240" w:after="240" w:line="360" w:lineRule="auto"/>
        <w:rPr>
          <w:b w:val="0"/>
        </w:rPr>
      </w:pPr>
      <w:r>
        <w:rPr>
          <w:b w:val="0"/>
        </w:rPr>
        <w:t>Cumpre salientar que a</w:t>
      </w:r>
      <w:r w:rsidR="005131AC" w:rsidRPr="000058C1">
        <w:rPr>
          <w:b w:val="0"/>
        </w:rPr>
        <w:t xml:space="preserve"> ordem jurídica </w:t>
      </w:r>
      <w:r w:rsidR="005131AC">
        <w:rPr>
          <w:b w:val="0"/>
        </w:rPr>
        <w:t>constitucional brasileira</w:t>
      </w:r>
      <w:r w:rsidR="005131AC" w:rsidRPr="000058C1">
        <w:rPr>
          <w:b w:val="0"/>
        </w:rPr>
        <w:t xml:space="preserve"> é fundada no</w:t>
      </w:r>
      <w:r w:rsidR="005131AC">
        <w:rPr>
          <w:b w:val="0"/>
        </w:rPr>
        <w:t xml:space="preserve">s objetivos fundamentais </w:t>
      </w:r>
      <w:r w:rsidR="005131AC" w:rsidRPr="000058C1">
        <w:rPr>
          <w:b w:val="0"/>
        </w:rPr>
        <w:t>de enfrentamento à discriminação</w:t>
      </w:r>
      <w:r w:rsidR="005131AC">
        <w:rPr>
          <w:b w:val="0"/>
        </w:rPr>
        <w:t>, de construção de uma sociedade livre, justa e solidária,</w:t>
      </w:r>
      <w:r w:rsidR="005131AC" w:rsidRPr="000058C1">
        <w:rPr>
          <w:b w:val="0"/>
        </w:rPr>
        <w:t xml:space="preserve"> e na </w:t>
      </w:r>
      <w:r w:rsidR="005131AC">
        <w:rPr>
          <w:b w:val="0"/>
        </w:rPr>
        <w:t xml:space="preserve">garantia de </w:t>
      </w:r>
      <w:r w:rsidR="005131AC" w:rsidRPr="000058C1">
        <w:rPr>
          <w:b w:val="0"/>
        </w:rPr>
        <w:t xml:space="preserve">promoção da </w:t>
      </w:r>
      <w:r w:rsidR="005131AC">
        <w:rPr>
          <w:b w:val="0"/>
        </w:rPr>
        <w:t>igualdade</w:t>
      </w:r>
      <w:r w:rsidR="005131AC" w:rsidRPr="000058C1">
        <w:rPr>
          <w:b w:val="0"/>
        </w:rPr>
        <w:t xml:space="preserve"> material.</w:t>
      </w:r>
    </w:p>
    <w:p w14:paraId="5EC90B21" w14:textId="5E26A976" w:rsidR="005131AC" w:rsidRDefault="005131AC" w:rsidP="005131AC">
      <w:pPr>
        <w:pStyle w:val="Corpodetexto"/>
        <w:spacing w:before="240" w:after="240" w:line="360" w:lineRule="auto"/>
        <w:rPr>
          <w:b w:val="0"/>
        </w:rPr>
      </w:pPr>
      <w:r w:rsidRPr="000058C1">
        <w:rPr>
          <w:b w:val="0"/>
        </w:rPr>
        <w:t xml:space="preserve">Em razão disso, gradativamente, passaram a ser editadas diversas leis contemplando medidas para a expansão da participação da população negra, em igualdade de oportunidades, na vida econômica, social, política e educacional. Citam-se, então, a Lei n. 12.288/2010 (Estatuto da Igualdade Racial), a Lei n. 12.711/2012 (que </w:t>
      </w:r>
      <w:r>
        <w:rPr>
          <w:b w:val="0"/>
        </w:rPr>
        <w:t>dispões sobre</w:t>
      </w:r>
      <w:r w:rsidRPr="000058C1">
        <w:rPr>
          <w:b w:val="0"/>
        </w:rPr>
        <w:t xml:space="preserve"> </w:t>
      </w:r>
      <w:r w:rsidRPr="000058C1">
        <w:rPr>
          <w:b w:val="0"/>
        </w:rPr>
        <w:lastRenderedPageBreak/>
        <w:t>cotas raciais nas universidades) e, por fim, a Lei n. 12.990/2014</w:t>
      </w:r>
      <w:r>
        <w:rPr>
          <w:b w:val="0"/>
        </w:rPr>
        <w:t>, alterada pela Lei n. 15.142/2025</w:t>
      </w:r>
      <w:r w:rsidRPr="000058C1">
        <w:rPr>
          <w:b w:val="0"/>
        </w:rPr>
        <w:t xml:space="preserve"> (que </w:t>
      </w:r>
      <w:r>
        <w:rPr>
          <w:b w:val="0"/>
        </w:rPr>
        <w:t xml:space="preserve">prevê </w:t>
      </w:r>
      <w:r w:rsidRPr="000058C1">
        <w:rPr>
          <w:b w:val="0"/>
        </w:rPr>
        <w:t xml:space="preserve">percentual </w:t>
      </w:r>
      <w:r w:rsidR="00D4395B">
        <w:rPr>
          <w:b w:val="0"/>
        </w:rPr>
        <w:t>de</w:t>
      </w:r>
      <w:r w:rsidRPr="000058C1">
        <w:rPr>
          <w:b w:val="0"/>
        </w:rPr>
        <w:t xml:space="preserve"> cotas raciais nos concursos federais).</w:t>
      </w:r>
    </w:p>
    <w:p w14:paraId="61BCDEC2" w14:textId="52AD2586" w:rsidR="005131AC" w:rsidRPr="00D4395B" w:rsidRDefault="00D4395B" w:rsidP="005131AC">
      <w:pPr>
        <w:pStyle w:val="Corpodetexto"/>
        <w:spacing w:before="240" w:after="240" w:line="360" w:lineRule="auto"/>
        <w:rPr>
          <w:b w:val="0"/>
        </w:rPr>
      </w:pPr>
      <w:r>
        <w:rPr>
          <w:b w:val="0"/>
        </w:rPr>
        <w:t>Some-se a isso que o</w:t>
      </w:r>
      <w:r w:rsidR="005131AC" w:rsidRPr="000058C1">
        <w:rPr>
          <w:b w:val="0"/>
        </w:rPr>
        <w:t xml:space="preserve"> Estado de Minas Gerais </w:t>
      </w:r>
      <w:r w:rsidR="005131AC">
        <w:rPr>
          <w:b w:val="0"/>
        </w:rPr>
        <w:t>aderiu</w:t>
      </w:r>
      <w:r w:rsidR="005131AC" w:rsidRPr="000058C1">
        <w:rPr>
          <w:b w:val="0"/>
        </w:rPr>
        <w:t xml:space="preserve"> ao Sistema Nacional de Promoção da Igualdade Racial (Sinapir) </w:t>
      </w:r>
      <w:r w:rsidR="000210DC">
        <w:rPr>
          <w:b w:val="0"/>
        </w:rPr>
        <w:t xml:space="preserve">em </w:t>
      </w:r>
      <w:r w:rsidR="005131AC" w:rsidRPr="000058C1">
        <w:rPr>
          <w:b w:val="0"/>
        </w:rPr>
        <w:t>2016 e, com isso, assumiu o compromisso de “promover a igualdade étnica e o combate às desigualdades sociais resultantes do racismo, inclusive mediante adoção de ações afirmativas”</w:t>
      </w:r>
      <w:r w:rsidR="000210DC">
        <w:rPr>
          <w:b w:val="0"/>
        </w:rPr>
        <w:t xml:space="preserve"> (</w:t>
      </w:r>
      <w:r w:rsidR="000210DC" w:rsidRPr="000058C1">
        <w:rPr>
          <w:b w:val="0"/>
        </w:rPr>
        <w:t>art. 47 c/c art. 48, da Lei n. 12.288/2010</w:t>
      </w:r>
      <w:r w:rsidR="000210DC">
        <w:rPr>
          <w:b w:val="0"/>
        </w:rPr>
        <w:t>).</w:t>
      </w:r>
    </w:p>
    <w:p w14:paraId="25BA964A" w14:textId="6DAE196E" w:rsidR="005131AC" w:rsidRDefault="00D4395B" w:rsidP="005131AC">
      <w:pPr>
        <w:pStyle w:val="Corpodetexto"/>
        <w:spacing w:before="240" w:after="240" w:line="360" w:lineRule="auto"/>
        <w:rPr>
          <w:b w:val="0"/>
        </w:rPr>
      </w:pPr>
      <w:r>
        <w:rPr>
          <w:b w:val="0"/>
        </w:rPr>
        <w:t>Cumpre ressaltar</w:t>
      </w:r>
      <w:r w:rsidRPr="00D4395B">
        <w:rPr>
          <w:b w:val="0"/>
        </w:rPr>
        <w:t>,</w:t>
      </w:r>
      <w:r>
        <w:rPr>
          <w:b w:val="0"/>
        </w:rPr>
        <w:t xml:space="preserve"> também, que</w:t>
      </w:r>
      <w:r w:rsidRPr="00D4395B">
        <w:rPr>
          <w:b w:val="0"/>
        </w:rPr>
        <w:t xml:space="preserve"> </w:t>
      </w:r>
      <w:r>
        <w:rPr>
          <w:b w:val="0"/>
        </w:rPr>
        <w:t>d</w:t>
      </w:r>
      <w:r w:rsidR="005131AC">
        <w:rPr>
          <w:b w:val="0"/>
        </w:rPr>
        <w:t>iversos órgãos e entidades da Administração Direta e Indireta do Estado já adota</w:t>
      </w:r>
      <w:r>
        <w:rPr>
          <w:b w:val="0"/>
        </w:rPr>
        <w:t>ram</w:t>
      </w:r>
      <w:r w:rsidR="005131AC">
        <w:rPr>
          <w:b w:val="0"/>
        </w:rPr>
        <w:t xml:space="preserve">, por meio de regulamentação </w:t>
      </w:r>
      <w:r w:rsidR="005131AC">
        <w:rPr>
          <w:b w:val="0"/>
          <w:i/>
          <w:iCs/>
        </w:rPr>
        <w:t>interna corporis</w:t>
      </w:r>
      <w:r w:rsidR="005131AC">
        <w:rPr>
          <w:b w:val="0"/>
        </w:rPr>
        <w:t>, a política da reserva de vagas por critérios raciais em seus certames, de modo que não se sustenta o argumento de que a adoção de cotas implicaria em ofensa ao princípio da legalidade.</w:t>
      </w:r>
    </w:p>
    <w:p w14:paraId="0224583F" w14:textId="11C24A8E" w:rsidR="005131AC" w:rsidRDefault="005131AC" w:rsidP="005131AC">
      <w:pPr>
        <w:pStyle w:val="Corpodetexto"/>
        <w:spacing w:before="240" w:after="240" w:line="360" w:lineRule="auto"/>
        <w:rPr>
          <w:b w:val="0"/>
        </w:rPr>
      </w:pPr>
      <w:r>
        <w:rPr>
          <w:b w:val="0"/>
        </w:rPr>
        <w:t>Não bastasse</w:t>
      </w:r>
      <w:r w:rsidRPr="000058C1">
        <w:rPr>
          <w:b w:val="0"/>
        </w:rPr>
        <w:t xml:space="preserve">, a Convenção Interamericana contra o Racismo, a Discriminação Racial e Formas Correlatas de Intolerância (CIRDRI), foi aprovada pelo Congresso Nacional pelo rito do art. 5º, § 3º, da </w:t>
      </w:r>
      <w:r>
        <w:rPr>
          <w:b w:val="0"/>
        </w:rPr>
        <w:t>CRFB,</w:t>
      </w:r>
      <w:r w:rsidRPr="000058C1">
        <w:rPr>
          <w:b w:val="0"/>
        </w:rPr>
        <w:t xml:space="preserve"> e promulgada pelo Decreto Presidencial n. 10.932</w:t>
      </w:r>
      <w:r>
        <w:rPr>
          <w:b w:val="0"/>
        </w:rPr>
        <w:t>/</w:t>
      </w:r>
      <w:r w:rsidRPr="000058C1">
        <w:rPr>
          <w:b w:val="0"/>
        </w:rPr>
        <w:t xml:space="preserve">2022, </w:t>
      </w:r>
      <w:r w:rsidRPr="004432D7">
        <w:rPr>
          <w:b w:val="0"/>
        </w:rPr>
        <w:t>sendo</w:t>
      </w:r>
      <w:r w:rsidRPr="000058C1">
        <w:rPr>
          <w:bCs/>
        </w:rPr>
        <w:t xml:space="preserve"> </w:t>
      </w:r>
      <w:r w:rsidRPr="00D4395B">
        <w:rPr>
          <w:b w:val="0"/>
        </w:rPr>
        <w:t>incorporada ao ordenamento jurídico pátrio com força de emenda constitucional.</w:t>
      </w:r>
      <w:r w:rsidRPr="000058C1">
        <w:rPr>
          <w:b w:val="0"/>
        </w:rPr>
        <w:t xml:space="preserve"> </w:t>
      </w:r>
    </w:p>
    <w:p w14:paraId="475A27AD" w14:textId="1E7536C1" w:rsidR="005131AC" w:rsidRPr="00D4395B" w:rsidRDefault="005131AC" w:rsidP="005131AC">
      <w:pPr>
        <w:pStyle w:val="Corpodetexto"/>
        <w:spacing w:before="240" w:after="240" w:line="360" w:lineRule="auto"/>
        <w:rPr>
          <w:b w:val="0"/>
        </w:rPr>
      </w:pPr>
      <w:r>
        <w:rPr>
          <w:b w:val="0"/>
        </w:rPr>
        <w:t xml:space="preserve">Desse modo, a mencionada </w:t>
      </w:r>
      <w:r w:rsidRPr="000058C1">
        <w:rPr>
          <w:b w:val="0"/>
        </w:rPr>
        <w:t>Convenção Interamericana contra o Racismo</w:t>
      </w:r>
      <w:r>
        <w:rPr>
          <w:b w:val="0"/>
        </w:rPr>
        <w:t xml:space="preserve"> (CIRDRI), ao </w:t>
      </w:r>
      <w:r w:rsidRPr="00D4395B">
        <w:rPr>
          <w:b w:val="0"/>
        </w:rPr>
        <w:t xml:space="preserve">prever o dever do Estado de implementar ações afirmativas em prol das minorias étnicas, por se tratar de norma com status constitucional e de eficácia plena e imediata, deve ser obrigatoriamente implementada por todos os Entes Federativos, sem delongas, em subserviência ao princípio da legalidade (art. 37, </w:t>
      </w:r>
      <w:r w:rsidRPr="00D4395B">
        <w:rPr>
          <w:b w:val="0"/>
          <w:i/>
          <w:iCs/>
        </w:rPr>
        <w:t>caput</w:t>
      </w:r>
      <w:r w:rsidRPr="00D4395B">
        <w:rPr>
          <w:b w:val="0"/>
        </w:rPr>
        <w:t>, da CRFB/1988).</w:t>
      </w:r>
    </w:p>
    <w:p w14:paraId="0C38F575" w14:textId="0E867CB0" w:rsidR="007853B2" w:rsidRDefault="005131AC" w:rsidP="00D4395B">
      <w:pPr>
        <w:pStyle w:val="Corpodetexto"/>
        <w:spacing w:before="240" w:after="240" w:line="360" w:lineRule="auto"/>
        <w:rPr>
          <w:b w:val="0"/>
        </w:rPr>
      </w:pPr>
      <w:r>
        <w:rPr>
          <w:b w:val="0"/>
        </w:rPr>
        <w:t xml:space="preserve">Ademais, em 14 de janeiro de 2025, foi aprovado o Estatuto da Igualdade Racial de Minas Gerais (Lei Estadual n. 25.150/2025), impondo </w:t>
      </w:r>
      <w:r w:rsidRPr="00D4395B">
        <w:rPr>
          <w:b w:val="0"/>
        </w:rPr>
        <w:t>diversas obrigações ao Estado para com as minorias racializadas, inclusive, expressamente, a promoção de ações afirmativas para a diversidade étnico racial no acesso a cargos e empregos públicos.</w:t>
      </w:r>
    </w:p>
    <w:p w14:paraId="5CA109E9" w14:textId="001893E2" w:rsidR="00771022" w:rsidRPr="00D4395B" w:rsidRDefault="00771022" w:rsidP="00D4395B">
      <w:pPr>
        <w:pStyle w:val="Corpodetexto"/>
        <w:spacing w:before="240" w:after="240" w:line="360" w:lineRule="auto"/>
        <w:rPr>
          <w:b w:val="0"/>
        </w:rPr>
      </w:pPr>
      <w:r>
        <w:rPr>
          <w:b w:val="0"/>
        </w:rPr>
        <w:t xml:space="preserve">Por fim, a matéria não se encontra inserta no âmbito da discricionariedade administrativa, uma vez que as ações afirmativas constituem obrigação constitucional, não havendo, para a Administração Pública de quaisquer dos Entes da Federação, margem </w:t>
      </w:r>
      <w:r w:rsidR="000210DC">
        <w:rPr>
          <w:b w:val="0"/>
        </w:rPr>
        <w:t>para análise de</w:t>
      </w:r>
      <w:r>
        <w:rPr>
          <w:b w:val="0"/>
        </w:rPr>
        <w:t xml:space="preserve"> conveniência e oportunidade quanto ao cumprimento de direitos fundamentais.</w:t>
      </w:r>
    </w:p>
    <w:p w14:paraId="6733E83B" w14:textId="6E6CEF43" w:rsidR="000210DC" w:rsidRDefault="000210DC" w:rsidP="000210DC">
      <w:pPr>
        <w:pStyle w:val="Corpodetexto"/>
        <w:shd w:val="clear" w:color="auto" w:fill="FFFFFF" w:themeFill="background1"/>
        <w:spacing w:before="240" w:after="240" w:line="360" w:lineRule="auto"/>
        <w:rPr>
          <w:b w:val="0"/>
        </w:rPr>
      </w:pPr>
      <w:r w:rsidRPr="0013515C">
        <w:rPr>
          <w:b w:val="0"/>
        </w:rPr>
        <w:lastRenderedPageBreak/>
        <w:t xml:space="preserve">Nesse contexto, </w:t>
      </w:r>
      <w:r>
        <w:rPr>
          <w:b w:val="0"/>
        </w:rPr>
        <w:t>notou</w:t>
      </w:r>
      <w:r w:rsidRPr="0013515C">
        <w:rPr>
          <w:b w:val="0"/>
        </w:rPr>
        <w:t xml:space="preserve">-se que </w:t>
      </w:r>
      <w:r w:rsidRPr="0013515C">
        <w:rPr>
          <w:bCs/>
        </w:rPr>
        <w:t>diversos Municípios</w:t>
      </w:r>
      <w:r w:rsidRPr="0013515C">
        <w:rPr>
          <w:b w:val="0"/>
        </w:rPr>
        <w:t xml:space="preserve"> tampouco regulamentaram a matéria em suas</w:t>
      </w:r>
      <w:r>
        <w:rPr>
          <w:b w:val="0"/>
        </w:rPr>
        <w:t xml:space="preserve"> respectivas</w:t>
      </w:r>
      <w:r w:rsidRPr="0013515C">
        <w:rPr>
          <w:b w:val="0"/>
        </w:rPr>
        <w:t xml:space="preserve"> esferas, publicando sucessivos editais de concursos e processos seletivos sem contemplarem as políticas de reserva de vagas às minorias raciais.</w:t>
      </w:r>
      <w:r w:rsidR="00935E31">
        <w:rPr>
          <w:b w:val="0"/>
        </w:rPr>
        <w:t xml:space="preserve"> Dentre estes entes federativos locais omissos, encontra-se o </w:t>
      </w:r>
      <w:r w:rsidR="00935E31" w:rsidRPr="00935E31">
        <w:rPr>
          <w:b w:val="0"/>
          <w:color w:val="EE0000"/>
        </w:rPr>
        <w:t>Município de XXXX</w:t>
      </w:r>
      <w:r w:rsidR="00935E31">
        <w:rPr>
          <w:b w:val="0"/>
        </w:rPr>
        <w:t>.</w:t>
      </w:r>
    </w:p>
    <w:p w14:paraId="6833D90E" w14:textId="3C7F5583" w:rsidR="000210DC" w:rsidRDefault="000210DC" w:rsidP="000210DC">
      <w:pPr>
        <w:pStyle w:val="Corpodetexto"/>
        <w:shd w:val="clear" w:color="auto" w:fill="FFFFFF" w:themeFill="background1"/>
        <w:spacing w:before="240" w:after="240" w:line="360" w:lineRule="auto"/>
        <w:rPr>
          <w:b w:val="0"/>
        </w:rPr>
      </w:pPr>
      <w:r w:rsidRPr="0013515C">
        <w:rPr>
          <w:b w:val="0"/>
        </w:rPr>
        <w:t xml:space="preserve">Diante dessa proliferada omissão inconstitucional, notou-se a necessidade de articular </w:t>
      </w:r>
      <w:r w:rsidRPr="000210DC">
        <w:rPr>
          <w:b w:val="0"/>
        </w:rPr>
        <w:t>estratégia para disseminar a atuação</w:t>
      </w:r>
      <w:r w:rsidRPr="0013515C">
        <w:rPr>
          <w:b w:val="0"/>
        </w:rPr>
        <w:t>, dotando os órgãos de execução da Defensoria Pública de Minas Gerais de ferramentas para a adoção das medidas extrajudiciais e judiciais cabíveis, para a concretização das ações afirmativas nos certames municipais.</w:t>
      </w:r>
    </w:p>
    <w:p w14:paraId="356DD38E" w14:textId="69155F03" w:rsidR="000210DC" w:rsidRPr="000210DC" w:rsidRDefault="000210DC" w:rsidP="000210DC">
      <w:pPr>
        <w:pStyle w:val="Corpodetexto"/>
        <w:shd w:val="clear" w:color="auto" w:fill="FFFFFF" w:themeFill="background1"/>
        <w:spacing w:before="240" w:after="240" w:line="360" w:lineRule="auto"/>
        <w:rPr>
          <w:b w:val="0"/>
        </w:rPr>
      </w:pPr>
      <w:r>
        <w:rPr>
          <w:b w:val="0"/>
        </w:rPr>
        <w:t>Isso porque, para além dos argumentos quanto ao Estado, a Constituição de Minas Gerais</w:t>
      </w:r>
      <w:r w:rsidRPr="001F5C5A">
        <w:rPr>
          <w:b w:val="0"/>
        </w:rPr>
        <w:t xml:space="preserve"> </w:t>
      </w:r>
      <w:r>
        <w:rPr>
          <w:b w:val="0"/>
        </w:rPr>
        <w:t>impõe</w:t>
      </w:r>
      <w:r w:rsidRPr="0013515C">
        <w:rPr>
          <w:b w:val="0"/>
        </w:rPr>
        <w:t xml:space="preserve">, como </w:t>
      </w:r>
      <w:r w:rsidRPr="000210DC">
        <w:rPr>
          <w:b w:val="0"/>
        </w:rPr>
        <w:t>objetivo prioritário do</w:t>
      </w:r>
      <w:r>
        <w:rPr>
          <w:b w:val="0"/>
        </w:rPr>
        <w:t>s</w:t>
      </w:r>
      <w:r w:rsidRPr="000210DC">
        <w:rPr>
          <w:b w:val="0"/>
        </w:rPr>
        <w:t xml:space="preserve"> Município</w:t>
      </w:r>
      <w:r>
        <w:rPr>
          <w:b w:val="0"/>
        </w:rPr>
        <w:t>s</w:t>
      </w:r>
      <w:r w:rsidRPr="000210DC">
        <w:rPr>
          <w:b w:val="0"/>
        </w:rPr>
        <w:t xml:space="preserve"> (art. 166, IV), a obrigação de “promover plano, programas e projetos de interesse dos segmentos mais carentes da sociedade”.</w:t>
      </w:r>
    </w:p>
    <w:p w14:paraId="3DF45BA3" w14:textId="03A13599" w:rsidR="007C526B" w:rsidRDefault="00B508E2" w:rsidP="00B508E2">
      <w:pPr>
        <w:shd w:val="clear" w:color="auto" w:fill="F2F2F2" w:themeFill="background1" w:themeFillShade="F2"/>
        <w:spacing w:before="240" w:after="240" w:line="360" w:lineRule="auto"/>
        <w:jc w:val="both"/>
        <w:rPr>
          <w:rFonts w:ascii="Times New Roman" w:eastAsia="Times New Roman" w:hAnsi="Times New Roman" w:cs="Times New Roman"/>
          <w:color w:val="000000"/>
          <w:sz w:val="24"/>
          <w:szCs w:val="24"/>
        </w:rPr>
      </w:pPr>
      <w:r w:rsidRPr="00B508E2">
        <w:rPr>
          <w:rFonts w:ascii="Times New Roman Negrito" w:eastAsia="Times New Roman" w:hAnsi="Times New Roman Negrito" w:cs="Times New Roman"/>
          <w:b/>
          <w:smallCaps/>
          <w:color w:val="000000"/>
          <w:sz w:val="24"/>
          <w:szCs w:val="24"/>
        </w:rPr>
        <w:t>Envolvidos</w:t>
      </w:r>
      <w:r w:rsidR="00BE4420">
        <w:rPr>
          <w:rFonts w:ascii="Times New Roman" w:eastAsia="Times New Roman" w:hAnsi="Times New Roman" w:cs="Times New Roman"/>
          <w:color w:val="000000"/>
          <w:sz w:val="24"/>
          <w:szCs w:val="24"/>
        </w:rPr>
        <w:t>:</w:t>
      </w:r>
    </w:p>
    <w:p w14:paraId="3DF45BA5" w14:textId="6423DF30" w:rsidR="007C526B" w:rsidRPr="002D2281" w:rsidRDefault="00BE4420" w:rsidP="00DC318E">
      <w:pPr>
        <w:spacing w:before="240" w:after="240" w:line="360" w:lineRule="auto"/>
        <w:jc w:val="both"/>
        <w:rPr>
          <w:rFonts w:ascii="Times New Roman" w:eastAsia="Times New Roman" w:hAnsi="Times New Roman" w:cs="Times New Roman"/>
          <w:color w:val="EE0000"/>
          <w:sz w:val="24"/>
          <w:szCs w:val="24"/>
        </w:rPr>
      </w:pPr>
      <w:r w:rsidRPr="002D2281">
        <w:rPr>
          <w:rFonts w:ascii="Times New Roman" w:eastAsia="Times New Roman" w:hAnsi="Times New Roman" w:cs="Times New Roman"/>
          <w:color w:val="000000"/>
          <w:sz w:val="24"/>
          <w:szCs w:val="24"/>
        </w:rPr>
        <w:t>1.</w:t>
      </w:r>
      <w:r w:rsidR="00A359EB" w:rsidRPr="002D2281">
        <w:rPr>
          <w:rFonts w:ascii="Times New Roman" w:eastAsia="Times New Roman" w:hAnsi="Times New Roman" w:cs="Times New Roman"/>
          <w:color w:val="000000"/>
          <w:sz w:val="24"/>
          <w:szCs w:val="24"/>
        </w:rPr>
        <w:t xml:space="preserve"> </w:t>
      </w:r>
      <w:r w:rsidR="00B450E9" w:rsidRPr="002D2281">
        <w:rPr>
          <w:rFonts w:ascii="Times New Roman" w:eastAsia="Times New Roman" w:hAnsi="Times New Roman" w:cs="Times New Roman"/>
          <w:color w:val="EE0000"/>
          <w:sz w:val="24"/>
          <w:szCs w:val="24"/>
        </w:rPr>
        <w:t>Município de XXX</w:t>
      </w:r>
      <w:r w:rsidR="00935E31">
        <w:rPr>
          <w:rFonts w:ascii="Times New Roman" w:eastAsia="Times New Roman" w:hAnsi="Times New Roman" w:cs="Times New Roman"/>
          <w:color w:val="EE0000"/>
          <w:sz w:val="24"/>
          <w:szCs w:val="24"/>
        </w:rPr>
        <w:t>X</w:t>
      </w:r>
    </w:p>
    <w:p w14:paraId="46ABEF7F" w14:textId="4F362C66" w:rsidR="009F6FBB" w:rsidRDefault="00DE38BE" w:rsidP="00B450E9">
      <w:pPr>
        <w:spacing w:before="240" w:after="240" w:line="360" w:lineRule="auto"/>
        <w:jc w:val="both"/>
        <w:rPr>
          <w:rFonts w:ascii="Times New Roman" w:eastAsia="Times New Roman" w:hAnsi="Times New Roman" w:cs="Times New Roman"/>
          <w:color w:val="000000"/>
          <w:sz w:val="24"/>
          <w:szCs w:val="24"/>
        </w:rPr>
      </w:pPr>
      <w:r w:rsidRPr="002D2281">
        <w:rPr>
          <w:rFonts w:ascii="Times New Roman" w:eastAsia="Times New Roman" w:hAnsi="Times New Roman" w:cs="Times New Roman"/>
          <w:color w:val="000000"/>
          <w:sz w:val="24"/>
          <w:szCs w:val="24"/>
        </w:rPr>
        <w:t xml:space="preserve">2. </w:t>
      </w:r>
      <w:r w:rsidRPr="002D2281">
        <w:rPr>
          <w:rFonts w:ascii="Times New Roman" w:eastAsia="Times New Roman" w:hAnsi="Times New Roman" w:cs="Times New Roman"/>
          <w:color w:val="EE0000"/>
          <w:sz w:val="24"/>
          <w:szCs w:val="24"/>
        </w:rPr>
        <w:t xml:space="preserve">Poder Legislativo do </w:t>
      </w:r>
      <w:r w:rsidR="00B450E9" w:rsidRPr="002D2281">
        <w:rPr>
          <w:rFonts w:ascii="Times New Roman" w:eastAsia="Times New Roman" w:hAnsi="Times New Roman" w:cs="Times New Roman"/>
          <w:color w:val="EE0000"/>
          <w:sz w:val="24"/>
          <w:szCs w:val="24"/>
        </w:rPr>
        <w:t>Município de XXX</w:t>
      </w:r>
      <w:r w:rsidR="00935E31">
        <w:rPr>
          <w:rFonts w:ascii="Times New Roman" w:eastAsia="Times New Roman" w:hAnsi="Times New Roman" w:cs="Times New Roman"/>
          <w:color w:val="EE0000"/>
          <w:sz w:val="24"/>
          <w:szCs w:val="24"/>
        </w:rPr>
        <w:t>X</w:t>
      </w:r>
    </w:p>
    <w:p w14:paraId="6F3FA53F" w14:textId="435CEF97" w:rsidR="009F6FBB" w:rsidRPr="009F6FBB" w:rsidRDefault="009F6FBB" w:rsidP="009F6FBB">
      <w:pPr>
        <w:shd w:val="clear" w:color="auto" w:fill="F2F2F2" w:themeFill="background1" w:themeFillShade="F2"/>
        <w:spacing w:before="240" w:after="240" w:line="360" w:lineRule="auto"/>
        <w:jc w:val="both"/>
        <w:rPr>
          <w:rFonts w:ascii="Times New Roman Negrito" w:eastAsia="Times New Roman" w:hAnsi="Times New Roman Negrito" w:cs="Times New Roman"/>
          <w:b/>
          <w:bCs/>
          <w:smallCaps/>
          <w:sz w:val="24"/>
          <w:szCs w:val="24"/>
        </w:rPr>
      </w:pPr>
      <w:r w:rsidRPr="009F6FBB">
        <w:rPr>
          <w:rFonts w:ascii="Times New Roman Negrito" w:eastAsia="Times New Roman" w:hAnsi="Times New Roman Negrito" w:cs="Times New Roman"/>
          <w:b/>
          <w:bCs/>
          <w:smallCaps/>
          <w:sz w:val="24"/>
          <w:szCs w:val="24"/>
        </w:rPr>
        <w:t>Considerações Normativas:</w:t>
      </w:r>
    </w:p>
    <w:p w14:paraId="3DF45BA8" w14:textId="6F85A4AF" w:rsidR="007C526B" w:rsidRDefault="00BE4420" w:rsidP="00DC318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que a Defensoria Pública é instituição permanente, essencial à função jurisdicional do Estado, incumbindo-lhe, como expressão e instrumento do regime democrático, fundamentalmente, a orientação jurídica, a promoção dos direitos humanos e a defesa, em todos os graus, judicial e extrajudicial, dos direitos individuais e coletivos, de forma integral e gratuita, aos necessitados, na forma do art. 5º, LXXIV, e art. 134, da CRFB/1988</w:t>
      </w:r>
      <w:r w:rsidR="00935E3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 do art. 1º, da Lei Complementar Federal nº 80/1994;</w:t>
      </w:r>
    </w:p>
    <w:p w14:paraId="3DF45BAA" w14:textId="0D8F0035" w:rsidR="007C526B" w:rsidRDefault="00BE4420" w:rsidP="00DC318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CONSIDERANDO </w:t>
      </w:r>
      <w:r>
        <w:rPr>
          <w:rFonts w:ascii="Times New Roman" w:eastAsia="Times New Roman" w:hAnsi="Times New Roman" w:cs="Times New Roman"/>
          <w:sz w:val="24"/>
          <w:szCs w:val="24"/>
        </w:rPr>
        <w:t xml:space="preserve">que é dever do Estado </w:t>
      </w:r>
      <w:r w:rsidR="00034070">
        <w:rPr>
          <w:rFonts w:ascii="Times New Roman" w:eastAsia="Times New Roman" w:hAnsi="Times New Roman" w:cs="Times New Roman"/>
          <w:sz w:val="24"/>
          <w:szCs w:val="24"/>
        </w:rPr>
        <w:t xml:space="preserve">efetivar </w:t>
      </w:r>
      <w:r>
        <w:rPr>
          <w:rFonts w:ascii="Times New Roman" w:eastAsia="Times New Roman" w:hAnsi="Times New Roman" w:cs="Times New Roman"/>
          <w:sz w:val="24"/>
          <w:szCs w:val="24"/>
        </w:rPr>
        <w:t xml:space="preserve">os princípios constitucionais da cidadania e da dignidade da pessoa humana, bem como cumprir com seus objetivos fundamentais de construir uma sociedade livre, justa e solidária, </w:t>
      </w:r>
      <w:r w:rsidR="0048342A">
        <w:rPr>
          <w:rFonts w:ascii="Times New Roman" w:eastAsia="Times New Roman" w:hAnsi="Times New Roman" w:cs="Times New Roman"/>
          <w:sz w:val="24"/>
          <w:szCs w:val="24"/>
        </w:rPr>
        <w:t xml:space="preserve">com a erradicação da pobreza e da marginalização, além da redução das desigualdades sociais, conforme </w:t>
      </w:r>
      <w:r>
        <w:rPr>
          <w:rFonts w:ascii="Times New Roman" w:eastAsia="Times New Roman" w:hAnsi="Times New Roman" w:cs="Times New Roman"/>
          <w:sz w:val="24"/>
          <w:szCs w:val="24"/>
        </w:rPr>
        <w:t>art. 1º,</w:t>
      </w:r>
      <w:r w:rsidR="00073A2B">
        <w:rPr>
          <w:rFonts w:ascii="Times New Roman" w:eastAsia="Times New Roman" w:hAnsi="Times New Roman" w:cs="Times New Roman"/>
          <w:sz w:val="24"/>
          <w:szCs w:val="24"/>
        </w:rPr>
        <w:t xml:space="preserve"> incisos</w:t>
      </w:r>
      <w:r>
        <w:rPr>
          <w:rFonts w:ascii="Times New Roman" w:eastAsia="Times New Roman" w:hAnsi="Times New Roman" w:cs="Times New Roman"/>
          <w:sz w:val="24"/>
          <w:szCs w:val="24"/>
        </w:rPr>
        <w:t xml:space="preserve"> II e III, e art. 3º, </w:t>
      </w:r>
      <w:r w:rsidR="00073A2B">
        <w:rPr>
          <w:rFonts w:ascii="Times New Roman" w:eastAsia="Times New Roman" w:hAnsi="Times New Roman" w:cs="Times New Roman"/>
          <w:sz w:val="24"/>
          <w:szCs w:val="24"/>
        </w:rPr>
        <w:t xml:space="preserve">incisos </w:t>
      </w:r>
      <w:r w:rsidR="0048342A">
        <w:rPr>
          <w:rFonts w:ascii="Times New Roman" w:eastAsia="Times New Roman" w:hAnsi="Times New Roman" w:cs="Times New Roman"/>
          <w:sz w:val="24"/>
          <w:szCs w:val="24"/>
        </w:rPr>
        <w:t>I</w:t>
      </w:r>
      <w:r w:rsidR="00F24A7C">
        <w:rPr>
          <w:rFonts w:ascii="Times New Roman" w:eastAsia="Times New Roman" w:hAnsi="Times New Roman" w:cs="Times New Roman"/>
          <w:sz w:val="24"/>
          <w:szCs w:val="24"/>
        </w:rPr>
        <w:t xml:space="preserve">, </w:t>
      </w:r>
      <w:r w:rsidR="0048342A">
        <w:rPr>
          <w:rFonts w:ascii="Times New Roman" w:eastAsia="Times New Roman" w:hAnsi="Times New Roman" w:cs="Times New Roman"/>
          <w:sz w:val="24"/>
          <w:szCs w:val="24"/>
        </w:rPr>
        <w:t>III</w:t>
      </w:r>
      <w:r w:rsidR="00F24A7C">
        <w:rPr>
          <w:rFonts w:ascii="Times New Roman" w:eastAsia="Times New Roman" w:hAnsi="Times New Roman" w:cs="Times New Roman"/>
          <w:sz w:val="24"/>
          <w:szCs w:val="24"/>
        </w:rPr>
        <w:t xml:space="preserve"> e IV</w:t>
      </w:r>
      <w:r>
        <w:rPr>
          <w:rFonts w:ascii="Times New Roman" w:eastAsia="Times New Roman" w:hAnsi="Times New Roman" w:cs="Times New Roman"/>
          <w:sz w:val="24"/>
          <w:szCs w:val="24"/>
        </w:rPr>
        <w:t xml:space="preserve">, da </w:t>
      </w:r>
      <w:r w:rsidR="000163C5">
        <w:rPr>
          <w:rFonts w:ascii="Times New Roman" w:eastAsia="Times New Roman" w:hAnsi="Times New Roman" w:cs="Times New Roman"/>
          <w:sz w:val="24"/>
          <w:szCs w:val="24"/>
        </w:rPr>
        <w:t>CRFB/1988</w:t>
      </w:r>
      <w:r>
        <w:rPr>
          <w:rFonts w:ascii="Times New Roman" w:eastAsia="Times New Roman" w:hAnsi="Times New Roman" w:cs="Times New Roman"/>
          <w:sz w:val="24"/>
          <w:szCs w:val="24"/>
        </w:rPr>
        <w:t>;</w:t>
      </w:r>
    </w:p>
    <w:p w14:paraId="2439C057" w14:textId="3AFE983C" w:rsidR="00F24A7C" w:rsidRDefault="00F24A7C" w:rsidP="00DC318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CONSIDERANDO </w:t>
      </w:r>
      <w:r>
        <w:rPr>
          <w:rFonts w:ascii="Times New Roman" w:eastAsia="Times New Roman" w:hAnsi="Times New Roman" w:cs="Times New Roman"/>
          <w:sz w:val="24"/>
          <w:szCs w:val="24"/>
        </w:rPr>
        <w:t>os preceitos constitucionais da igualdade e isonomia material</w:t>
      </w:r>
      <w:r w:rsidR="00073A2B">
        <w:rPr>
          <w:rFonts w:ascii="Times New Roman" w:eastAsia="Times New Roman" w:hAnsi="Times New Roman" w:cs="Times New Roman"/>
          <w:sz w:val="24"/>
          <w:szCs w:val="24"/>
        </w:rPr>
        <w:t xml:space="preserve">, nos termos do art. 5º, </w:t>
      </w:r>
      <w:r w:rsidR="00073A2B" w:rsidRPr="00073A2B">
        <w:rPr>
          <w:rFonts w:ascii="Times New Roman" w:eastAsia="Times New Roman" w:hAnsi="Times New Roman" w:cs="Times New Roman"/>
          <w:i/>
          <w:iCs/>
          <w:sz w:val="24"/>
          <w:szCs w:val="24"/>
        </w:rPr>
        <w:t>caput</w:t>
      </w:r>
      <w:r w:rsidR="00073A2B">
        <w:rPr>
          <w:rFonts w:ascii="Times New Roman" w:eastAsia="Times New Roman" w:hAnsi="Times New Roman" w:cs="Times New Roman"/>
          <w:sz w:val="24"/>
          <w:szCs w:val="24"/>
        </w:rPr>
        <w:t>, da CRFB/1988;</w:t>
      </w:r>
    </w:p>
    <w:p w14:paraId="377B36F5" w14:textId="0DAA7BE1" w:rsidR="00D5335D" w:rsidRDefault="00CD5E6B" w:rsidP="00DC318E">
      <w:pPr>
        <w:spacing w:before="240" w:after="240" w:line="360" w:lineRule="auto"/>
        <w:jc w:val="both"/>
        <w:rPr>
          <w:rFonts w:ascii="Times New Roman" w:eastAsia="Times New Roman" w:hAnsi="Times New Roman" w:cs="Times New Roman"/>
          <w:sz w:val="24"/>
          <w:szCs w:val="24"/>
        </w:rPr>
      </w:pPr>
      <w:r w:rsidRPr="00DA3103">
        <w:rPr>
          <w:rFonts w:ascii="Times New Roman" w:eastAsia="Times New Roman" w:hAnsi="Times New Roman" w:cs="Times New Roman"/>
          <w:b/>
          <w:sz w:val="24"/>
          <w:szCs w:val="24"/>
        </w:rPr>
        <w:t xml:space="preserve">CONSIDERANDO </w:t>
      </w:r>
      <w:r w:rsidRPr="00DA3103">
        <w:rPr>
          <w:rFonts w:ascii="Times New Roman" w:eastAsia="Times New Roman" w:hAnsi="Times New Roman" w:cs="Times New Roman"/>
          <w:sz w:val="24"/>
          <w:szCs w:val="24"/>
        </w:rPr>
        <w:t>que a Convenção Interamericana contra o Racismo, a Discriminação Racial e Formas Correlatas de Intolerância</w:t>
      </w:r>
      <w:r w:rsidR="00FE3AB6" w:rsidRPr="00DA3103">
        <w:rPr>
          <w:rFonts w:ascii="Times New Roman" w:eastAsia="Times New Roman" w:hAnsi="Times New Roman" w:cs="Times New Roman"/>
          <w:sz w:val="24"/>
          <w:szCs w:val="24"/>
        </w:rPr>
        <w:t xml:space="preserve"> (CIRDR</w:t>
      </w:r>
      <w:r w:rsidR="00D5335D" w:rsidRPr="00DA3103">
        <w:rPr>
          <w:rFonts w:ascii="Times New Roman" w:eastAsia="Times New Roman" w:hAnsi="Times New Roman" w:cs="Times New Roman"/>
          <w:sz w:val="24"/>
          <w:szCs w:val="24"/>
        </w:rPr>
        <w:t>I)</w:t>
      </w:r>
      <w:r w:rsidRPr="00DA3103">
        <w:rPr>
          <w:rFonts w:ascii="Times New Roman" w:eastAsia="Times New Roman" w:hAnsi="Times New Roman" w:cs="Times New Roman"/>
          <w:sz w:val="24"/>
          <w:szCs w:val="24"/>
        </w:rPr>
        <w:t xml:space="preserve">, da qual o Brasil é signatário e que se encontra internalizada no ordenamento jurídico pátrio por meio do Decreto Presidencial n. 10.932/2022, estabelece, </w:t>
      </w:r>
      <w:r w:rsidR="00FE3AB6" w:rsidRPr="00DA3103">
        <w:rPr>
          <w:rFonts w:ascii="Times New Roman" w:eastAsia="Times New Roman" w:hAnsi="Times New Roman" w:cs="Times New Roman"/>
          <w:sz w:val="24"/>
          <w:szCs w:val="24"/>
        </w:rPr>
        <w:t>em seu artigo 5</w:t>
      </w:r>
      <w:r w:rsidR="00D5335D" w:rsidRPr="00DA3103">
        <w:rPr>
          <w:rFonts w:ascii="Times New Roman" w:eastAsia="Times New Roman" w:hAnsi="Times New Roman" w:cs="Times New Roman"/>
          <w:sz w:val="24"/>
          <w:szCs w:val="24"/>
        </w:rPr>
        <w:t>º</w:t>
      </w:r>
      <w:r w:rsidR="00FE3AB6" w:rsidRPr="00DA3103">
        <w:rPr>
          <w:rFonts w:ascii="Times New Roman" w:eastAsia="Times New Roman" w:hAnsi="Times New Roman" w:cs="Times New Roman"/>
          <w:sz w:val="24"/>
          <w:szCs w:val="24"/>
        </w:rPr>
        <w:t xml:space="preserve"> que “Os Estados Partes </w:t>
      </w:r>
      <w:r w:rsidR="00FE3AB6" w:rsidRPr="00935E31">
        <w:rPr>
          <w:rFonts w:ascii="Times New Roman" w:eastAsia="Times New Roman" w:hAnsi="Times New Roman" w:cs="Times New Roman"/>
          <w:sz w:val="24"/>
          <w:szCs w:val="24"/>
        </w:rPr>
        <w:t>comprometem-se a adotar as políticas especiais e ações afirmativas necessárias para assegurar o gozo ou exercício dos direitos e liberdades fundamentais das pessoas ou grupos sujeitos ao racismo, à discriminação racial e formas correlatas de intolerância, com o propósito de promover condições equitativas para a igualdade de oportunidades, inclusão e progresso para essas pessoas ou grupos. Tais medidas ou políticas não serão consideradas discriminatórias ou incompatíveis com o propósito ou objeto desta Convenção, não resultarão na manutenção de direitos separados para grupos distintos e não se estenderão além de um período razoável ou após terem alcançado seu objetivo</w:t>
      </w:r>
      <w:r w:rsidR="00FE3AB6" w:rsidRPr="00DA3103">
        <w:rPr>
          <w:rFonts w:ascii="Times New Roman" w:eastAsia="Times New Roman" w:hAnsi="Times New Roman" w:cs="Times New Roman"/>
          <w:sz w:val="24"/>
          <w:szCs w:val="24"/>
        </w:rPr>
        <w:t>”</w:t>
      </w:r>
      <w:r w:rsidR="00A875C3">
        <w:rPr>
          <w:rFonts w:ascii="Times New Roman" w:eastAsia="Times New Roman" w:hAnsi="Times New Roman" w:cs="Times New Roman"/>
          <w:sz w:val="24"/>
          <w:szCs w:val="24"/>
        </w:rPr>
        <w:t>;</w:t>
      </w:r>
      <w:r w:rsidR="00FE3AB6" w:rsidRPr="00DA3103">
        <w:rPr>
          <w:rFonts w:ascii="Times New Roman" w:eastAsia="Times New Roman" w:hAnsi="Times New Roman" w:cs="Times New Roman"/>
          <w:sz w:val="24"/>
          <w:szCs w:val="24"/>
        </w:rPr>
        <w:t xml:space="preserve"> </w:t>
      </w:r>
    </w:p>
    <w:p w14:paraId="73E770DC" w14:textId="7039AAA7" w:rsidR="00DA3103" w:rsidRDefault="00D5335D" w:rsidP="00DC318E">
      <w:pPr>
        <w:spacing w:before="240" w:after="240" w:line="360" w:lineRule="auto"/>
        <w:jc w:val="both"/>
        <w:rPr>
          <w:rFonts w:ascii="Times New Roman" w:eastAsia="Times New Roman" w:hAnsi="Times New Roman" w:cs="Times New Roman"/>
          <w:sz w:val="24"/>
          <w:szCs w:val="24"/>
        </w:rPr>
      </w:pPr>
      <w:r w:rsidRPr="00DA3103">
        <w:rPr>
          <w:rFonts w:ascii="Times New Roman" w:eastAsia="Times New Roman" w:hAnsi="Times New Roman" w:cs="Times New Roman"/>
          <w:b/>
          <w:sz w:val="24"/>
          <w:szCs w:val="24"/>
        </w:rPr>
        <w:t xml:space="preserve">CONSIDERANDO </w:t>
      </w:r>
      <w:r w:rsidRPr="00DA3103">
        <w:rPr>
          <w:rFonts w:ascii="Times New Roman" w:eastAsia="Times New Roman" w:hAnsi="Times New Roman" w:cs="Times New Roman"/>
          <w:sz w:val="24"/>
          <w:szCs w:val="24"/>
        </w:rPr>
        <w:t>que a CIRDRI estabelece, em seu artigo 6º</w:t>
      </w:r>
      <w:r w:rsidR="00A875C3">
        <w:rPr>
          <w:rFonts w:ascii="Times New Roman" w:eastAsia="Times New Roman" w:hAnsi="Times New Roman" w:cs="Times New Roman"/>
          <w:sz w:val="24"/>
          <w:szCs w:val="24"/>
        </w:rPr>
        <w:t xml:space="preserve">, </w:t>
      </w:r>
      <w:r w:rsidRPr="00DA3103">
        <w:rPr>
          <w:rFonts w:ascii="Times New Roman" w:eastAsia="Times New Roman" w:hAnsi="Times New Roman" w:cs="Times New Roman"/>
          <w:sz w:val="24"/>
          <w:szCs w:val="24"/>
        </w:rPr>
        <w:t xml:space="preserve">que </w:t>
      </w:r>
      <w:r w:rsidR="00FE3AB6" w:rsidRPr="00DA3103">
        <w:rPr>
          <w:rFonts w:ascii="Times New Roman" w:eastAsia="Times New Roman" w:hAnsi="Times New Roman" w:cs="Times New Roman"/>
          <w:sz w:val="24"/>
          <w:szCs w:val="24"/>
        </w:rPr>
        <w:t xml:space="preserve">“Os Estados Partes </w:t>
      </w:r>
      <w:r w:rsidR="00FE3AB6" w:rsidRPr="00935E31">
        <w:rPr>
          <w:rFonts w:ascii="Times New Roman" w:eastAsia="Times New Roman" w:hAnsi="Times New Roman" w:cs="Times New Roman"/>
          <w:sz w:val="24"/>
          <w:szCs w:val="24"/>
        </w:rPr>
        <w:t>comprometem-se a formular e implementar políticas cujo propósito seja proporcionar tratamento equitativo e gerar igualdade de oportunidades para todas as pessoas, em conformidade com o alcance desta Convenção; entre elas políticas de caráter educacional, medidas trabalhistas ou sociais, ou qualquer outro tipo de política promocional, e a</w:t>
      </w:r>
      <w:r w:rsidR="00FE3AB6" w:rsidRPr="00DA3103">
        <w:rPr>
          <w:rFonts w:ascii="Times New Roman" w:eastAsia="Times New Roman" w:hAnsi="Times New Roman" w:cs="Times New Roman"/>
          <w:sz w:val="24"/>
          <w:szCs w:val="24"/>
        </w:rPr>
        <w:t xml:space="preserve"> divulgação da legislação sobre o assunto por todos os meios possíveis, inclusive pelos meios de comunicação de massa e pela internet”</w:t>
      </w:r>
      <w:r w:rsidR="00A875C3">
        <w:rPr>
          <w:rFonts w:ascii="Times New Roman" w:eastAsia="Times New Roman" w:hAnsi="Times New Roman" w:cs="Times New Roman"/>
          <w:sz w:val="24"/>
          <w:szCs w:val="24"/>
        </w:rPr>
        <w:t>;</w:t>
      </w:r>
    </w:p>
    <w:p w14:paraId="7FE840E2" w14:textId="33D35AB3" w:rsidR="00EC329F" w:rsidRDefault="00EC329F" w:rsidP="00DC318E">
      <w:pPr>
        <w:spacing w:before="240" w:after="240" w:line="360" w:lineRule="auto"/>
        <w:jc w:val="both"/>
        <w:rPr>
          <w:rFonts w:ascii="Times New Roman" w:eastAsia="Times New Roman" w:hAnsi="Times New Roman" w:cs="Times New Roman"/>
          <w:sz w:val="24"/>
          <w:szCs w:val="24"/>
        </w:rPr>
      </w:pPr>
      <w:r w:rsidRPr="00DA3103">
        <w:rPr>
          <w:rFonts w:ascii="Times New Roman" w:eastAsia="Times New Roman" w:hAnsi="Times New Roman" w:cs="Times New Roman"/>
          <w:b/>
          <w:sz w:val="24"/>
          <w:szCs w:val="24"/>
        </w:rPr>
        <w:t xml:space="preserve">CONSIDERANDO </w:t>
      </w:r>
      <w:r w:rsidRPr="00DA3103">
        <w:rPr>
          <w:rFonts w:ascii="Times New Roman" w:eastAsia="Times New Roman" w:hAnsi="Times New Roman" w:cs="Times New Roman"/>
          <w:sz w:val="24"/>
          <w:szCs w:val="24"/>
        </w:rPr>
        <w:t xml:space="preserve">que a Convenção Interamericana contra o Racismo, a Discriminação Racial e Formas Correlatas de Intolerância (CIRDRI), </w:t>
      </w:r>
      <w:r>
        <w:rPr>
          <w:rFonts w:ascii="Times New Roman" w:eastAsia="Times New Roman" w:hAnsi="Times New Roman" w:cs="Times New Roman"/>
          <w:sz w:val="24"/>
          <w:szCs w:val="24"/>
        </w:rPr>
        <w:t xml:space="preserve">foi aprovada pelo </w:t>
      </w:r>
      <w:r w:rsidRPr="00EC329F">
        <w:rPr>
          <w:rFonts w:ascii="Times New Roman" w:eastAsia="Times New Roman" w:hAnsi="Times New Roman" w:cs="Times New Roman"/>
          <w:sz w:val="24"/>
          <w:szCs w:val="24"/>
        </w:rPr>
        <w:t xml:space="preserve">Congresso Nacional por meio do Decreto Legislativo nº 1, de 18 de fevereiro de 2021, conforme o </w:t>
      </w:r>
      <w:r>
        <w:rPr>
          <w:rFonts w:ascii="Times New Roman" w:eastAsia="Times New Roman" w:hAnsi="Times New Roman" w:cs="Times New Roman"/>
          <w:sz w:val="24"/>
          <w:szCs w:val="24"/>
        </w:rPr>
        <w:t>rito</w:t>
      </w:r>
      <w:r w:rsidRPr="00EC329F">
        <w:rPr>
          <w:rFonts w:ascii="Times New Roman" w:eastAsia="Times New Roman" w:hAnsi="Times New Roman" w:cs="Times New Roman"/>
          <w:sz w:val="24"/>
          <w:szCs w:val="24"/>
        </w:rPr>
        <w:t xml:space="preserve"> de que trata </w:t>
      </w:r>
      <w:r>
        <w:rPr>
          <w:rFonts w:ascii="Times New Roman" w:eastAsia="Times New Roman" w:hAnsi="Times New Roman" w:cs="Times New Roman"/>
          <w:sz w:val="24"/>
          <w:szCs w:val="24"/>
        </w:rPr>
        <w:t xml:space="preserve">o art. 5º, § 3º, da CRFB/1988, gozando, portanto, de </w:t>
      </w:r>
      <w:r w:rsidRPr="00EC329F">
        <w:rPr>
          <w:rFonts w:ascii="Times New Roman" w:eastAsia="Times New Roman" w:hAnsi="Times New Roman" w:cs="Times New Roman"/>
          <w:i/>
          <w:iCs/>
          <w:sz w:val="24"/>
          <w:szCs w:val="24"/>
        </w:rPr>
        <w:t>status</w:t>
      </w:r>
      <w:r>
        <w:rPr>
          <w:rFonts w:ascii="Times New Roman" w:eastAsia="Times New Roman" w:hAnsi="Times New Roman" w:cs="Times New Roman"/>
          <w:sz w:val="24"/>
          <w:szCs w:val="24"/>
        </w:rPr>
        <w:t xml:space="preserve"> de emenda constitucional e de eficácia imediata quanto a todos os entes federativos e seus órgãos;</w:t>
      </w:r>
    </w:p>
    <w:p w14:paraId="25974DBB" w14:textId="5F864CC3" w:rsidR="009B55C0" w:rsidRPr="00935E31" w:rsidRDefault="009B0A36" w:rsidP="00DC318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CONSIDERANDO </w:t>
      </w:r>
      <w:r>
        <w:rPr>
          <w:rFonts w:ascii="Times New Roman" w:eastAsia="Times New Roman" w:hAnsi="Times New Roman" w:cs="Times New Roman"/>
          <w:sz w:val="24"/>
          <w:szCs w:val="24"/>
        </w:rPr>
        <w:t xml:space="preserve">que a Corte Interamericana de Direitos Humanos (CIDH) condenou o Estado Brasileiro no </w:t>
      </w:r>
      <w:r w:rsidRPr="009B0A36">
        <w:rPr>
          <w:rFonts w:ascii="Times New Roman" w:eastAsia="Times New Roman" w:hAnsi="Times New Roman" w:cs="Times New Roman"/>
          <w:sz w:val="24"/>
          <w:szCs w:val="24"/>
        </w:rPr>
        <w:t>Caso Neusa dos Santos Nascimento e Gisele Ana Ferreira Gomes</w:t>
      </w:r>
      <w:r>
        <w:rPr>
          <w:rFonts w:ascii="Times New Roman" w:eastAsia="Times New Roman" w:hAnsi="Times New Roman" w:cs="Times New Roman"/>
          <w:sz w:val="24"/>
          <w:szCs w:val="24"/>
        </w:rPr>
        <w:t>, destacando que “</w:t>
      </w:r>
      <w:r w:rsidRPr="009B0A36">
        <w:rPr>
          <w:rFonts w:ascii="Times New Roman" w:eastAsia="Times New Roman" w:hAnsi="Times New Roman" w:cs="Times New Roman"/>
          <w:sz w:val="24"/>
          <w:szCs w:val="24"/>
        </w:rPr>
        <w:t xml:space="preserve">No que diz respeito à discriminação estrutural enfrentada pelas pessoas </w:t>
      </w:r>
      <w:r w:rsidRPr="009B0A36">
        <w:rPr>
          <w:rFonts w:ascii="Times New Roman" w:eastAsia="Times New Roman" w:hAnsi="Times New Roman" w:cs="Times New Roman"/>
          <w:sz w:val="24"/>
          <w:szCs w:val="24"/>
        </w:rPr>
        <w:lastRenderedPageBreak/>
        <w:t>afrodescendentes, a CIRD</w:t>
      </w:r>
      <w:r w:rsidR="00935E31">
        <w:rPr>
          <w:rFonts w:ascii="Times New Roman" w:eastAsia="Times New Roman" w:hAnsi="Times New Roman" w:cs="Times New Roman"/>
          <w:sz w:val="24"/>
          <w:szCs w:val="24"/>
        </w:rPr>
        <w:t>R</w:t>
      </w:r>
      <w:r w:rsidRPr="009B0A36">
        <w:rPr>
          <w:rFonts w:ascii="Times New Roman" w:eastAsia="Times New Roman" w:hAnsi="Times New Roman" w:cs="Times New Roman"/>
          <w:sz w:val="24"/>
          <w:szCs w:val="24"/>
        </w:rPr>
        <w:t>I estabelece que os Estados devem – com o propósito de promover condições equitativas de igualdade de oportunidades, inclusão e progresso — adotar ações afirmativas para assegurar que pessoas ou grupos afetados pelo racismo, pela discriminação racial ou por formas correlatas de intolerância possam exercer seus direitos e liberdades fundamentais, sem discriminação. </w:t>
      </w:r>
      <w:r w:rsidRPr="00935E31">
        <w:rPr>
          <w:rFonts w:ascii="Times New Roman" w:eastAsia="Times New Roman" w:hAnsi="Times New Roman" w:cs="Times New Roman"/>
          <w:sz w:val="24"/>
          <w:szCs w:val="24"/>
        </w:rPr>
        <w:t>Somado a isso, os Estados devem elaborar e implementar políticas que visem o tratamento equitativo e a geração de igualdade de oportunidades para todas as pessoas, incluindo medidas de natureza laboral”;</w:t>
      </w:r>
    </w:p>
    <w:p w14:paraId="59D2D06E" w14:textId="532C147F" w:rsidR="00D25B90" w:rsidRDefault="00D25B90" w:rsidP="00DC318E">
      <w:pPr>
        <w:spacing w:before="240" w:after="240" w:line="360" w:lineRule="auto"/>
        <w:jc w:val="both"/>
        <w:rPr>
          <w:rFonts w:ascii="Times New Roman" w:hAnsi="Times New Roman" w:cs="Times New Roman"/>
          <w:sz w:val="24"/>
          <w:szCs w:val="24"/>
        </w:rPr>
      </w:pPr>
      <w:r w:rsidRPr="002F35B8">
        <w:rPr>
          <w:rFonts w:ascii="Times New Roman" w:hAnsi="Times New Roman" w:cs="Times New Roman"/>
          <w:b/>
          <w:sz w:val="24"/>
          <w:szCs w:val="24"/>
        </w:rPr>
        <w:t>CONSIDERANDO</w:t>
      </w:r>
      <w:r w:rsidRPr="002F35B8">
        <w:rPr>
          <w:rFonts w:ascii="Times New Roman" w:hAnsi="Times New Roman" w:cs="Times New Roman"/>
          <w:sz w:val="24"/>
          <w:szCs w:val="24"/>
        </w:rPr>
        <w:t xml:space="preserve"> que a administração pública direta e indireta de qualquer dos Poderes da União, dos Estados, do Distrito Federal e dos Municípios </w:t>
      </w:r>
      <w:r>
        <w:rPr>
          <w:rFonts w:ascii="Times New Roman" w:hAnsi="Times New Roman" w:cs="Times New Roman"/>
          <w:sz w:val="24"/>
          <w:szCs w:val="24"/>
        </w:rPr>
        <w:t xml:space="preserve">deve </w:t>
      </w:r>
      <w:r w:rsidRPr="002F35B8">
        <w:rPr>
          <w:rFonts w:ascii="Times New Roman" w:hAnsi="Times New Roman" w:cs="Times New Roman"/>
          <w:sz w:val="24"/>
          <w:szCs w:val="24"/>
        </w:rPr>
        <w:t xml:space="preserve">obedecer aos </w:t>
      </w:r>
      <w:r>
        <w:rPr>
          <w:rFonts w:ascii="Times New Roman" w:hAnsi="Times New Roman" w:cs="Times New Roman"/>
          <w:sz w:val="24"/>
          <w:szCs w:val="24"/>
        </w:rPr>
        <w:t>princípios da</w:t>
      </w:r>
      <w:r w:rsidRPr="002F35B8">
        <w:rPr>
          <w:rFonts w:ascii="Times New Roman" w:hAnsi="Times New Roman" w:cs="Times New Roman"/>
          <w:sz w:val="24"/>
          <w:szCs w:val="24"/>
        </w:rPr>
        <w:t xml:space="preserve"> legalidade, impessoalidade, moralidade, publicidade e eficiência</w:t>
      </w:r>
      <w:r>
        <w:rPr>
          <w:rFonts w:ascii="Times New Roman" w:hAnsi="Times New Roman" w:cs="Times New Roman"/>
          <w:sz w:val="24"/>
          <w:szCs w:val="24"/>
        </w:rPr>
        <w:t xml:space="preserve">, nos termos do </w:t>
      </w:r>
      <w:r w:rsidRPr="002F35B8">
        <w:rPr>
          <w:rFonts w:ascii="Times New Roman" w:hAnsi="Times New Roman" w:cs="Times New Roman"/>
          <w:sz w:val="24"/>
          <w:szCs w:val="24"/>
        </w:rPr>
        <w:t xml:space="preserve">art. 37, </w:t>
      </w:r>
      <w:r w:rsidRPr="00034070">
        <w:rPr>
          <w:rFonts w:ascii="Times New Roman" w:hAnsi="Times New Roman" w:cs="Times New Roman"/>
          <w:i/>
          <w:iCs/>
          <w:sz w:val="24"/>
          <w:szCs w:val="24"/>
        </w:rPr>
        <w:t>caput</w:t>
      </w:r>
      <w:r w:rsidRPr="002F35B8">
        <w:rPr>
          <w:rFonts w:ascii="Times New Roman" w:hAnsi="Times New Roman" w:cs="Times New Roman"/>
          <w:sz w:val="24"/>
          <w:szCs w:val="24"/>
        </w:rPr>
        <w:t>, da C</w:t>
      </w:r>
      <w:r>
        <w:rPr>
          <w:rFonts w:ascii="Times New Roman" w:hAnsi="Times New Roman" w:cs="Times New Roman"/>
          <w:sz w:val="24"/>
          <w:szCs w:val="24"/>
        </w:rPr>
        <w:t>RFB</w:t>
      </w:r>
      <w:r w:rsidRPr="002F35B8">
        <w:rPr>
          <w:rFonts w:ascii="Times New Roman" w:hAnsi="Times New Roman" w:cs="Times New Roman"/>
          <w:sz w:val="24"/>
          <w:szCs w:val="24"/>
        </w:rPr>
        <w:t>/</w:t>
      </w:r>
      <w:r w:rsidR="00A875C3">
        <w:rPr>
          <w:rFonts w:ascii="Times New Roman" w:hAnsi="Times New Roman" w:cs="Times New Roman"/>
          <w:sz w:val="24"/>
          <w:szCs w:val="24"/>
        </w:rPr>
        <w:t>19</w:t>
      </w:r>
      <w:r w:rsidRPr="002F35B8">
        <w:rPr>
          <w:rFonts w:ascii="Times New Roman" w:hAnsi="Times New Roman" w:cs="Times New Roman"/>
          <w:sz w:val="24"/>
          <w:szCs w:val="24"/>
        </w:rPr>
        <w:t>88;</w:t>
      </w:r>
    </w:p>
    <w:p w14:paraId="5553F709" w14:textId="7002430E" w:rsidR="00A875C3" w:rsidRDefault="00A875C3" w:rsidP="00DC318E">
      <w:pPr>
        <w:spacing w:before="240" w:after="240" w:line="360" w:lineRule="auto"/>
        <w:jc w:val="both"/>
        <w:rPr>
          <w:rFonts w:ascii="Times New Roman" w:hAnsi="Times New Roman" w:cs="Times New Roman"/>
          <w:sz w:val="24"/>
          <w:szCs w:val="24"/>
        </w:rPr>
      </w:pPr>
      <w:r w:rsidRPr="002F35B8">
        <w:rPr>
          <w:rFonts w:ascii="Times New Roman" w:hAnsi="Times New Roman" w:cs="Times New Roman"/>
          <w:b/>
          <w:sz w:val="24"/>
          <w:szCs w:val="24"/>
        </w:rPr>
        <w:t>CONSIDERANDO</w:t>
      </w:r>
      <w:r w:rsidRPr="002F35B8">
        <w:rPr>
          <w:rFonts w:ascii="Times New Roman" w:hAnsi="Times New Roman" w:cs="Times New Roman"/>
          <w:sz w:val="24"/>
          <w:szCs w:val="24"/>
        </w:rPr>
        <w:t xml:space="preserve"> que</w:t>
      </w:r>
      <w:r>
        <w:rPr>
          <w:rFonts w:ascii="Times New Roman" w:hAnsi="Times New Roman" w:cs="Times New Roman"/>
          <w:sz w:val="24"/>
          <w:szCs w:val="24"/>
        </w:rPr>
        <w:t xml:space="preserve">, nos termos do art. 37, inciso II, </w:t>
      </w:r>
      <w:r w:rsidRPr="002F35B8">
        <w:rPr>
          <w:rFonts w:ascii="Times New Roman" w:hAnsi="Times New Roman" w:cs="Times New Roman"/>
          <w:sz w:val="24"/>
          <w:szCs w:val="24"/>
        </w:rPr>
        <w:t>da C</w:t>
      </w:r>
      <w:r>
        <w:rPr>
          <w:rFonts w:ascii="Times New Roman" w:hAnsi="Times New Roman" w:cs="Times New Roman"/>
          <w:sz w:val="24"/>
          <w:szCs w:val="24"/>
        </w:rPr>
        <w:t>RFB</w:t>
      </w:r>
      <w:r w:rsidRPr="002F35B8">
        <w:rPr>
          <w:rFonts w:ascii="Times New Roman" w:hAnsi="Times New Roman" w:cs="Times New Roman"/>
          <w:sz w:val="24"/>
          <w:szCs w:val="24"/>
        </w:rPr>
        <w:t>/</w:t>
      </w:r>
      <w:r>
        <w:rPr>
          <w:rFonts w:ascii="Times New Roman" w:hAnsi="Times New Roman" w:cs="Times New Roman"/>
          <w:sz w:val="24"/>
          <w:szCs w:val="24"/>
        </w:rPr>
        <w:t>19</w:t>
      </w:r>
      <w:r w:rsidRPr="002F35B8">
        <w:rPr>
          <w:rFonts w:ascii="Times New Roman" w:hAnsi="Times New Roman" w:cs="Times New Roman"/>
          <w:sz w:val="24"/>
          <w:szCs w:val="24"/>
        </w:rPr>
        <w:t>88</w:t>
      </w:r>
      <w:r>
        <w:rPr>
          <w:rFonts w:ascii="Times New Roman" w:hAnsi="Times New Roman" w:cs="Times New Roman"/>
          <w:sz w:val="24"/>
          <w:szCs w:val="24"/>
        </w:rPr>
        <w:t>, “</w:t>
      </w:r>
      <w:r w:rsidR="00247505">
        <w:rPr>
          <w:rFonts w:ascii="Times New Roman" w:hAnsi="Times New Roman" w:cs="Times New Roman"/>
          <w:sz w:val="24"/>
          <w:szCs w:val="24"/>
        </w:rPr>
        <w:t>[</w:t>
      </w:r>
      <w:r w:rsidRPr="00A875C3">
        <w:rPr>
          <w:rFonts w:ascii="Times New Roman" w:hAnsi="Times New Roman" w:cs="Times New Roman"/>
          <w:sz w:val="24"/>
          <w:szCs w:val="24"/>
        </w:rPr>
        <w:t>a</w:t>
      </w:r>
      <w:r w:rsidR="00247505">
        <w:rPr>
          <w:rFonts w:ascii="Times New Roman" w:hAnsi="Times New Roman" w:cs="Times New Roman"/>
          <w:sz w:val="24"/>
          <w:szCs w:val="24"/>
        </w:rPr>
        <w:t>]</w:t>
      </w:r>
      <w:r w:rsidRPr="00A875C3">
        <w:rPr>
          <w:rFonts w:ascii="Times New Roman" w:hAnsi="Times New Roman" w:cs="Times New Roman"/>
          <w:sz w:val="24"/>
          <w:szCs w:val="24"/>
        </w:rPr>
        <w:t xml:space="preserve"> investidura em cargo ou emprego público depende de aprovação prévia em concurso público de provas ou de provas e títulos, de acordo com a natureza e a complexidade do cargo ou emprego, na forma prevista em lei, ressalvadas as nomeações para cargo em comissão declarado em lei de livre nomeação e exoneração</w:t>
      </w:r>
      <w:r>
        <w:rPr>
          <w:rFonts w:ascii="Times New Roman" w:hAnsi="Times New Roman" w:cs="Times New Roman"/>
          <w:sz w:val="24"/>
          <w:szCs w:val="24"/>
        </w:rPr>
        <w:t>”;</w:t>
      </w:r>
    </w:p>
    <w:p w14:paraId="3629A0C5" w14:textId="3A7B7F10" w:rsidR="00C111AA" w:rsidRPr="00C111AA" w:rsidRDefault="00C111AA" w:rsidP="00C111AA">
      <w:pPr>
        <w:spacing w:before="240" w:after="240" w:line="360" w:lineRule="auto"/>
        <w:jc w:val="both"/>
        <w:rPr>
          <w:rFonts w:ascii="Times New Roman" w:hAnsi="Times New Roman" w:cs="Times New Roman"/>
          <w:b/>
          <w:bCs/>
          <w:sz w:val="24"/>
          <w:szCs w:val="24"/>
        </w:rPr>
      </w:pPr>
      <w:r w:rsidRPr="00C111AA">
        <w:rPr>
          <w:rFonts w:ascii="Times New Roman" w:hAnsi="Times New Roman" w:cs="Times New Roman"/>
          <w:b/>
          <w:sz w:val="24"/>
          <w:szCs w:val="24"/>
        </w:rPr>
        <w:t xml:space="preserve">CONSIDERANDO </w:t>
      </w:r>
      <w:r w:rsidRPr="00C111AA">
        <w:rPr>
          <w:rFonts w:ascii="Times New Roman" w:hAnsi="Times New Roman" w:cs="Times New Roman"/>
          <w:bCs/>
          <w:sz w:val="24"/>
          <w:szCs w:val="24"/>
        </w:rPr>
        <w:t xml:space="preserve">que a Constituição Estadual de Minas Gerais prevê, dentre os objetivos prioritários do Estado, a erradicação da pobreza e a redução das desigualdades sociais e regionais, nos termos de seu art. 2º, inciso XII, e que tal diploma estabelece, ainda, como competência comum aos entes federados, “combater as causas da pobreza e os fatores de marginalização, mediante a integração social dos setores desfavorecidos” (art. 11, </w:t>
      </w:r>
      <w:r w:rsidR="000240AE">
        <w:rPr>
          <w:rFonts w:ascii="Times New Roman" w:hAnsi="Times New Roman" w:cs="Times New Roman"/>
          <w:bCs/>
          <w:sz w:val="24"/>
          <w:szCs w:val="24"/>
        </w:rPr>
        <w:t xml:space="preserve">inciso </w:t>
      </w:r>
      <w:r w:rsidRPr="00C111AA">
        <w:rPr>
          <w:rFonts w:ascii="Times New Roman" w:hAnsi="Times New Roman" w:cs="Times New Roman"/>
          <w:bCs/>
          <w:sz w:val="24"/>
          <w:szCs w:val="24"/>
        </w:rPr>
        <w:t xml:space="preserve">X da CEMG) e ainda que os Municípios tem como objetivos prioritários “promover plano, programas e projetos de interesse dos segmentos mais carentes da sociedade” (art. 166, </w:t>
      </w:r>
      <w:r w:rsidR="000240AE">
        <w:rPr>
          <w:rFonts w:ascii="Times New Roman" w:hAnsi="Times New Roman" w:cs="Times New Roman"/>
          <w:bCs/>
          <w:sz w:val="24"/>
          <w:szCs w:val="24"/>
        </w:rPr>
        <w:t xml:space="preserve">inciso </w:t>
      </w:r>
      <w:r w:rsidRPr="00C111AA">
        <w:rPr>
          <w:rFonts w:ascii="Times New Roman" w:hAnsi="Times New Roman" w:cs="Times New Roman"/>
          <w:bCs/>
          <w:sz w:val="24"/>
          <w:szCs w:val="24"/>
        </w:rPr>
        <w:t>IV, da CEMG);</w:t>
      </w:r>
    </w:p>
    <w:p w14:paraId="44B5357A" w14:textId="74BD1338" w:rsidR="00287ADD" w:rsidRDefault="00BC0203" w:rsidP="00DC318E">
      <w:pPr>
        <w:spacing w:before="240" w:after="24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CONSIDERANDO</w:t>
      </w:r>
      <w:r w:rsidR="00B33E03">
        <w:rPr>
          <w:rFonts w:ascii="Times New Roman" w:hAnsi="Times New Roman" w:cs="Times New Roman"/>
          <w:b/>
          <w:bCs/>
          <w:color w:val="000000" w:themeColor="text1"/>
          <w:sz w:val="24"/>
          <w:szCs w:val="24"/>
          <w:shd w:val="clear" w:color="auto" w:fill="FFFFFF"/>
        </w:rPr>
        <w:t xml:space="preserve"> </w:t>
      </w:r>
      <w:r w:rsidR="00B33E03">
        <w:rPr>
          <w:rFonts w:ascii="Times New Roman" w:hAnsi="Times New Roman" w:cs="Times New Roman"/>
          <w:color w:val="000000" w:themeColor="text1"/>
          <w:sz w:val="24"/>
          <w:szCs w:val="24"/>
          <w:shd w:val="clear" w:color="auto" w:fill="FFFFFF"/>
        </w:rPr>
        <w:t xml:space="preserve">que o Estatuto da Igualdade Racial prevê ao Poder Público o dever de </w:t>
      </w:r>
      <w:r w:rsidR="00287ADD">
        <w:rPr>
          <w:rFonts w:ascii="Times New Roman" w:hAnsi="Times New Roman" w:cs="Times New Roman"/>
          <w:color w:val="000000" w:themeColor="text1"/>
          <w:sz w:val="24"/>
          <w:szCs w:val="24"/>
          <w:shd w:val="clear" w:color="auto" w:fill="FFFFFF"/>
        </w:rPr>
        <w:t>garantir</w:t>
      </w:r>
      <w:r w:rsidR="00B33E03">
        <w:rPr>
          <w:rFonts w:ascii="Times New Roman" w:hAnsi="Times New Roman" w:cs="Times New Roman"/>
          <w:color w:val="000000" w:themeColor="text1"/>
          <w:sz w:val="24"/>
          <w:szCs w:val="24"/>
          <w:shd w:val="clear" w:color="auto" w:fill="FFFFFF"/>
        </w:rPr>
        <w:t xml:space="preserve"> a participação da população negra em condição de igualdade oportunidade,</w:t>
      </w:r>
      <w:r w:rsidR="00287ADD">
        <w:rPr>
          <w:rFonts w:ascii="Times New Roman" w:hAnsi="Times New Roman" w:cs="Times New Roman"/>
          <w:color w:val="000000" w:themeColor="text1"/>
          <w:sz w:val="24"/>
          <w:szCs w:val="24"/>
          <w:shd w:val="clear" w:color="auto" w:fill="FFFFFF"/>
        </w:rPr>
        <w:t xml:space="preserve"> na vida econômica, social e política do País, prioritariamente, por meio da “</w:t>
      </w:r>
      <w:r w:rsidR="00287ADD" w:rsidRPr="00287ADD">
        <w:rPr>
          <w:rFonts w:ascii="Times New Roman" w:hAnsi="Times New Roman" w:cs="Times New Roman"/>
          <w:color w:val="000000" w:themeColor="text1"/>
          <w:sz w:val="24"/>
          <w:szCs w:val="24"/>
          <w:shd w:val="clear" w:color="auto" w:fill="FFFFFF"/>
        </w:rPr>
        <w:t>adoção de medidas, programas e políticas de ação afirmativa</w:t>
      </w:r>
      <w:r w:rsidR="00287ADD">
        <w:rPr>
          <w:rFonts w:ascii="Times New Roman" w:hAnsi="Times New Roman" w:cs="Times New Roman"/>
          <w:color w:val="000000" w:themeColor="text1"/>
          <w:sz w:val="24"/>
          <w:szCs w:val="24"/>
          <w:shd w:val="clear" w:color="auto" w:fill="FFFFFF"/>
        </w:rPr>
        <w:t>” e da “</w:t>
      </w:r>
      <w:r w:rsidR="00287ADD" w:rsidRPr="00287ADD">
        <w:rPr>
          <w:rFonts w:ascii="Times New Roman" w:hAnsi="Times New Roman" w:cs="Times New Roman"/>
          <w:color w:val="000000" w:themeColor="text1"/>
          <w:sz w:val="24"/>
          <w:szCs w:val="24"/>
          <w:shd w:val="clear" w:color="auto" w:fill="FFFFFF"/>
        </w:rPr>
        <w:t xml:space="preserve">eliminação dos obstáculos </w:t>
      </w:r>
      <w:r w:rsidR="00287ADD" w:rsidRPr="00287ADD">
        <w:rPr>
          <w:rFonts w:ascii="Times New Roman" w:hAnsi="Times New Roman" w:cs="Times New Roman"/>
          <w:color w:val="000000" w:themeColor="text1"/>
          <w:sz w:val="24"/>
          <w:szCs w:val="24"/>
          <w:shd w:val="clear" w:color="auto" w:fill="FFFFFF"/>
        </w:rPr>
        <w:lastRenderedPageBreak/>
        <w:t>históricos, socioculturais e institucionais que impedem a representação da diversidade étnica nas esferas pública e privada</w:t>
      </w:r>
      <w:r w:rsidR="00287ADD">
        <w:rPr>
          <w:rFonts w:ascii="Times New Roman" w:hAnsi="Times New Roman" w:cs="Times New Roman"/>
          <w:color w:val="000000" w:themeColor="text1"/>
          <w:sz w:val="24"/>
          <w:szCs w:val="24"/>
          <w:shd w:val="clear" w:color="auto" w:fill="FFFFFF"/>
        </w:rPr>
        <w:t xml:space="preserve">” (art. 4º, incisos II, V e VII, da </w:t>
      </w:r>
      <w:r w:rsidR="00287ADD">
        <w:rPr>
          <w:rFonts w:ascii="Times New Roman" w:eastAsia="Times New Roman" w:hAnsi="Times New Roman" w:cs="Times New Roman"/>
          <w:bCs/>
          <w:color w:val="000000" w:themeColor="text1"/>
          <w:sz w:val="24"/>
          <w:szCs w:val="24"/>
        </w:rPr>
        <w:t>Lei n. 12.288/2010);</w:t>
      </w:r>
    </w:p>
    <w:p w14:paraId="0AB2F19D" w14:textId="779112A8" w:rsidR="00287ADD" w:rsidRDefault="00287ADD" w:rsidP="00DC318E">
      <w:pPr>
        <w:spacing w:before="240" w:after="24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CONSIDERANDO </w:t>
      </w:r>
      <w:r>
        <w:rPr>
          <w:rFonts w:ascii="Times New Roman" w:hAnsi="Times New Roman" w:cs="Times New Roman"/>
          <w:color w:val="000000" w:themeColor="text1"/>
          <w:sz w:val="24"/>
          <w:szCs w:val="24"/>
          <w:shd w:val="clear" w:color="auto" w:fill="FFFFFF"/>
        </w:rPr>
        <w:t>que, ainda nos termos do</w:t>
      </w:r>
      <w:r w:rsidRPr="00287ADD">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Estatuto da Igualdade Racial, o</w:t>
      </w:r>
      <w:r w:rsidRPr="00287ADD">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poder público tem a obrigação de promover “</w:t>
      </w:r>
      <w:r w:rsidRPr="00287ADD">
        <w:rPr>
          <w:rFonts w:ascii="Times New Roman" w:hAnsi="Times New Roman" w:cs="Times New Roman"/>
          <w:color w:val="000000" w:themeColor="text1"/>
          <w:sz w:val="24"/>
          <w:szCs w:val="24"/>
          <w:shd w:val="clear" w:color="auto" w:fill="FFFFFF"/>
        </w:rPr>
        <w:t>ações que assegurem a igualdade de oportunidades no mercado de trabalho para a população negra, inclusive mediante a implementação de medidas visando à promoção da igualdade nas contratações do setor público e o incentivo à adoção de medidas similares nas empresas e organizações privadas</w:t>
      </w:r>
      <w:r>
        <w:rPr>
          <w:rFonts w:ascii="Times New Roman" w:hAnsi="Times New Roman" w:cs="Times New Roman"/>
          <w:color w:val="000000" w:themeColor="text1"/>
          <w:sz w:val="24"/>
          <w:szCs w:val="24"/>
          <w:shd w:val="clear" w:color="auto" w:fill="FFFFFF"/>
        </w:rPr>
        <w:t xml:space="preserve">” (conforme art. 39, da </w:t>
      </w:r>
      <w:r>
        <w:rPr>
          <w:rFonts w:ascii="Times New Roman" w:eastAsia="Times New Roman" w:hAnsi="Times New Roman" w:cs="Times New Roman"/>
          <w:bCs/>
          <w:color w:val="000000" w:themeColor="text1"/>
          <w:sz w:val="24"/>
          <w:szCs w:val="24"/>
        </w:rPr>
        <w:t>Lei n. 12.288/2010)</w:t>
      </w:r>
      <w:r>
        <w:rPr>
          <w:rFonts w:ascii="Times New Roman" w:hAnsi="Times New Roman" w:cs="Times New Roman"/>
          <w:color w:val="000000" w:themeColor="text1"/>
          <w:sz w:val="24"/>
          <w:szCs w:val="24"/>
          <w:shd w:val="clear" w:color="auto" w:fill="FFFFFF"/>
        </w:rPr>
        <w:t>;</w:t>
      </w:r>
    </w:p>
    <w:p w14:paraId="026BC0C3" w14:textId="29A9312C" w:rsidR="00A96F18" w:rsidRPr="00EC329F" w:rsidRDefault="00B33E03" w:rsidP="00DC318E">
      <w:pPr>
        <w:spacing w:before="240" w:after="24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CONSIDERANDO </w:t>
      </w:r>
      <w:r>
        <w:rPr>
          <w:rFonts w:ascii="Times New Roman" w:hAnsi="Times New Roman" w:cs="Times New Roman"/>
          <w:color w:val="000000" w:themeColor="text1"/>
          <w:sz w:val="24"/>
          <w:szCs w:val="24"/>
          <w:shd w:val="clear" w:color="auto" w:fill="FFFFFF"/>
        </w:rPr>
        <w:t xml:space="preserve">que, </w:t>
      </w:r>
      <w:r w:rsidR="00EC329F">
        <w:rPr>
          <w:rFonts w:ascii="Times New Roman" w:hAnsi="Times New Roman" w:cs="Times New Roman"/>
          <w:color w:val="000000" w:themeColor="text1"/>
          <w:sz w:val="24"/>
          <w:szCs w:val="24"/>
          <w:shd w:val="clear" w:color="auto" w:fill="FFFFFF"/>
        </w:rPr>
        <w:t>segundo o</w:t>
      </w:r>
      <w:r>
        <w:rPr>
          <w:rFonts w:ascii="Times New Roman" w:hAnsi="Times New Roman" w:cs="Times New Roman"/>
          <w:color w:val="000000" w:themeColor="text1"/>
          <w:sz w:val="24"/>
          <w:szCs w:val="24"/>
          <w:shd w:val="clear" w:color="auto" w:fill="FFFFFF"/>
        </w:rPr>
        <w:t xml:space="preserve"> art. 48</w:t>
      </w:r>
      <w:r w:rsidR="00EC329F">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do Estatuto da Igualdade Racial, são objetivos do Sistema Nacional de Promoção da </w:t>
      </w:r>
      <w:r w:rsidR="00EC329F">
        <w:rPr>
          <w:rFonts w:ascii="Times New Roman" w:hAnsi="Times New Roman" w:cs="Times New Roman"/>
          <w:color w:val="000000" w:themeColor="text1"/>
          <w:sz w:val="24"/>
          <w:szCs w:val="24"/>
          <w:shd w:val="clear" w:color="auto" w:fill="FFFFFF"/>
        </w:rPr>
        <w:t>I</w:t>
      </w:r>
      <w:r>
        <w:rPr>
          <w:rFonts w:ascii="Times New Roman" w:hAnsi="Times New Roman" w:cs="Times New Roman"/>
          <w:color w:val="000000" w:themeColor="text1"/>
          <w:sz w:val="24"/>
          <w:szCs w:val="24"/>
          <w:shd w:val="clear" w:color="auto" w:fill="FFFFFF"/>
        </w:rPr>
        <w:t>gualdade Racial</w:t>
      </w:r>
      <w:r w:rsidRPr="00B33E03">
        <w:rPr>
          <w:rFonts w:ascii="Times New Roman" w:hAnsi="Times New Roman" w:cs="Times New Roman"/>
          <w:color w:val="000000" w:themeColor="text1"/>
          <w:sz w:val="24"/>
          <w:szCs w:val="24"/>
          <w:shd w:val="clear" w:color="auto" w:fill="FFFFFF"/>
        </w:rPr>
        <w:t xml:space="preserve">: </w:t>
      </w:r>
      <w:r w:rsidR="00EC329F" w:rsidRPr="00EC329F">
        <w:rPr>
          <w:rFonts w:ascii="Times New Roman" w:hAnsi="Times New Roman" w:cs="Times New Roman"/>
          <w:color w:val="000000" w:themeColor="text1"/>
          <w:sz w:val="24"/>
          <w:szCs w:val="24"/>
          <w:shd w:val="clear" w:color="auto" w:fill="FFFFFF"/>
        </w:rPr>
        <w:t>“</w:t>
      </w:r>
      <w:r w:rsidRPr="00EC329F">
        <w:rPr>
          <w:rFonts w:ascii="Times New Roman" w:hAnsi="Times New Roman" w:cs="Times New Roman"/>
          <w:color w:val="000000" w:themeColor="text1"/>
          <w:sz w:val="24"/>
          <w:szCs w:val="24"/>
          <w:shd w:val="clear" w:color="auto" w:fill="FFFFFF"/>
        </w:rPr>
        <w:t>I - p</w:t>
      </w:r>
      <w:r w:rsidR="00A96F18" w:rsidRPr="00EC329F">
        <w:rPr>
          <w:rFonts w:ascii="Times New Roman" w:hAnsi="Times New Roman" w:cs="Times New Roman"/>
          <w:color w:val="000000" w:themeColor="text1"/>
          <w:sz w:val="24"/>
          <w:szCs w:val="24"/>
          <w:shd w:val="clear" w:color="auto" w:fill="FFFFFF"/>
        </w:rPr>
        <w:t>romover a igualdade étnica e o combate às desigualdades sociais resultantes do racismo, inclusive mediante adoção de ações afirmativa</w:t>
      </w:r>
      <w:r w:rsidRPr="00EC329F">
        <w:rPr>
          <w:rFonts w:ascii="Times New Roman" w:hAnsi="Times New Roman" w:cs="Times New Roman"/>
          <w:color w:val="000000" w:themeColor="text1"/>
          <w:sz w:val="24"/>
          <w:szCs w:val="24"/>
          <w:shd w:val="clear" w:color="auto" w:fill="FFFFFF"/>
        </w:rPr>
        <w:t>s;</w:t>
      </w:r>
      <w:r w:rsidR="00EC329F" w:rsidRPr="00EC329F">
        <w:rPr>
          <w:rFonts w:ascii="Times New Roman" w:hAnsi="Times New Roman" w:cs="Times New Roman"/>
          <w:color w:val="000000" w:themeColor="text1"/>
          <w:sz w:val="24"/>
          <w:szCs w:val="24"/>
          <w:shd w:val="clear" w:color="auto" w:fill="FFFFFF"/>
        </w:rPr>
        <w:t xml:space="preserve"> </w:t>
      </w:r>
      <w:r w:rsidR="00A96F18" w:rsidRPr="00EC329F">
        <w:rPr>
          <w:rFonts w:ascii="Times New Roman" w:hAnsi="Times New Roman" w:cs="Times New Roman"/>
          <w:color w:val="000000" w:themeColor="text1"/>
          <w:sz w:val="24"/>
          <w:szCs w:val="24"/>
          <w:shd w:val="clear" w:color="auto" w:fill="FFFFFF"/>
        </w:rPr>
        <w:t>II - formular políticas destinadas a combater os fatores de marginalização e a promover a integração social da população negra;</w:t>
      </w:r>
      <w:r w:rsidR="00EC329F" w:rsidRPr="00EC329F">
        <w:rPr>
          <w:rFonts w:ascii="Times New Roman" w:hAnsi="Times New Roman" w:cs="Times New Roman"/>
          <w:color w:val="000000" w:themeColor="text1"/>
          <w:sz w:val="24"/>
          <w:szCs w:val="24"/>
          <w:shd w:val="clear" w:color="auto" w:fill="FFFFFF"/>
        </w:rPr>
        <w:t xml:space="preserve"> </w:t>
      </w:r>
      <w:r w:rsidR="00A96F18" w:rsidRPr="00EC329F">
        <w:rPr>
          <w:rFonts w:ascii="Times New Roman" w:hAnsi="Times New Roman" w:cs="Times New Roman"/>
          <w:color w:val="000000" w:themeColor="text1"/>
          <w:sz w:val="24"/>
          <w:szCs w:val="24"/>
          <w:shd w:val="clear" w:color="auto" w:fill="FFFFFF"/>
        </w:rPr>
        <w:t>III - descentralizar a implementação de ações afirmativas pelos governos estaduais, distrital e municipais;</w:t>
      </w:r>
      <w:r w:rsidR="00EC329F" w:rsidRPr="00EC329F">
        <w:rPr>
          <w:rFonts w:ascii="Times New Roman" w:hAnsi="Times New Roman" w:cs="Times New Roman"/>
          <w:color w:val="000000" w:themeColor="text1"/>
          <w:sz w:val="24"/>
          <w:szCs w:val="24"/>
          <w:shd w:val="clear" w:color="auto" w:fill="FFFFFF"/>
        </w:rPr>
        <w:t xml:space="preserve"> </w:t>
      </w:r>
      <w:r w:rsidR="00A96F18" w:rsidRPr="00EC329F">
        <w:rPr>
          <w:rFonts w:ascii="Times New Roman" w:hAnsi="Times New Roman" w:cs="Times New Roman"/>
          <w:color w:val="000000" w:themeColor="text1"/>
          <w:sz w:val="24"/>
          <w:szCs w:val="24"/>
          <w:shd w:val="clear" w:color="auto" w:fill="FFFFFF"/>
        </w:rPr>
        <w:t>IV - articular planos, ações e mecanismos voltados à promoção da igualdade étnica;</w:t>
      </w:r>
      <w:r w:rsidR="00EC329F" w:rsidRPr="00EC329F">
        <w:rPr>
          <w:rFonts w:ascii="Times New Roman" w:hAnsi="Times New Roman" w:cs="Times New Roman"/>
          <w:color w:val="000000" w:themeColor="text1"/>
          <w:sz w:val="24"/>
          <w:szCs w:val="24"/>
          <w:shd w:val="clear" w:color="auto" w:fill="FFFFFF"/>
        </w:rPr>
        <w:t xml:space="preserve"> </w:t>
      </w:r>
      <w:r w:rsidR="00A96F18" w:rsidRPr="00EC329F">
        <w:rPr>
          <w:rFonts w:ascii="Times New Roman" w:hAnsi="Times New Roman" w:cs="Times New Roman"/>
          <w:color w:val="000000" w:themeColor="text1"/>
          <w:sz w:val="24"/>
          <w:szCs w:val="24"/>
          <w:shd w:val="clear" w:color="auto" w:fill="FFFFFF"/>
        </w:rPr>
        <w:t>V - garantir a eficácia dos meios e dos instrumentos criados para a implementação das ações afirmativas e o cumprimento das metas a serem estabelecidas</w:t>
      </w:r>
      <w:r w:rsidR="00EC329F" w:rsidRPr="00EC329F">
        <w:rPr>
          <w:rFonts w:ascii="Times New Roman" w:hAnsi="Times New Roman" w:cs="Times New Roman"/>
          <w:color w:val="000000" w:themeColor="text1"/>
          <w:sz w:val="24"/>
          <w:szCs w:val="24"/>
          <w:shd w:val="clear" w:color="auto" w:fill="FFFFFF"/>
        </w:rPr>
        <w:t>”;</w:t>
      </w:r>
    </w:p>
    <w:p w14:paraId="0DA727B5" w14:textId="714B2A72" w:rsidR="005A1274" w:rsidRDefault="006E2252" w:rsidP="00DC318E">
      <w:pPr>
        <w:spacing w:before="240" w:after="24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CONSIDERANDO </w:t>
      </w:r>
      <w:r>
        <w:rPr>
          <w:rFonts w:ascii="Times New Roman" w:hAnsi="Times New Roman" w:cs="Times New Roman"/>
          <w:color w:val="000000" w:themeColor="text1"/>
          <w:sz w:val="24"/>
          <w:szCs w:val="24"/>
          <w:shd w:val="clear" w:color="auto" w:fill="FFFFFF"/>
        </w:rPr>
        <w:t xml:space="preserve">que, nos termos do art. 1º, da Lei </w:t>
      </w:r>
      <w:r w:rsidR="00EC329F">
        <w:rPr>
          <w:rFonts w:ascii="Times New Roman" w:hAnsi="Times New Roman" w:cs="Times New Roman"/>
          <w:color w:val="000000" w:themeColor="text1"/>
          <w:sz w:val="24"/>
          <w:szCs w:val="24"/>
          <w:shd w:val="clear" w:color="auto" w:fill="FFFFFF"/>
        </w:rPr>
        <w:t xml:space="preserve">n. </w:t>
      </w:r>
      <w:r w:rsidR="00AC6BF1">
        <w:rPr>
          <w:rFonts w:ascii="Times New Roman" w:hAnsi="Times New Roman" w:cs="Times New Roman"/>
          <w:color w:val="000000" w:themeColor="text1"/>
          <w:sz w:val="24"/>
          <w:szCs w:val="24"/>
          <w:shd w:val="clear" w:color="auto" w:fill="FFFFFF"/>
        </w:rPr>
        <w:t>15.142/2025</w:t>
      </w:r>
      <w:r>
        <w:rPr>
          <w:rFonts w:ascii="Times New Roman" w:hAnsi="Times New Roman" w:cs="Times New Roman"/>
          <w:color w:val="000000" w:themeColor="text1"/>
          <w:sz w:val="24"/>
          <w:szCs w:val="24"/>
          <w:shd w:val="clear" w:color="auto" w:fill="FFFFFF"/>
        </w:rPr>
        <w:t xml:space="preserve">, </w:t>
      </w:r>
      <w:r w:rsidR="00483D24">
        <w:rPr>
          <w:rFonts w:ascii="Times New Roman" w:hAnsi="Times New Roman" w:cs="Times New Roman"/>
          <w:color w:val="000000" w:themeColor="text1"/>
          <w:sz w:val="24"/>
          <w:szCs w:val="24"/>
          <w:shd w:val="clear" w:color="auto" w:fill="FFFFFF"/>
        </w:rPr>
        <w:t>“</w:t>
      </w:r>
      <w:r w:rsidR="00483D24" w:rsidRPr="00483D24">
        <w:rPr>
          <w:rFonts w:ascii="Times New Roman" w:hAnsi="Times New Roman" w:cs="Times New Roman"/>
          <w:color w:val="000000" w:themeColor="text1"/>
          <w:sz w:val="24"/>
          <w:szCs w:val="24"/>
          <w:shd w:val="clear" w:color="auto" w:fill="FFFFFF"/>
        </w:rPr>
        <w:t>É reservado às pessoas pretas e pardas, indígenas e quilombolas o percentual de 30% (trinta por cento) das vagas oferecidas</w:t>
      </w:r>
      <w:r w:rsidR="00483D24">
        <w:rPr>
          <w:rFonts w:ascii="Times New Roman" w:hAnsi="Times New Roman" w:cs="Times New Roman"/>
          <w:color w:val="000000" w:themeColor="text1"/>
          <w:sz w:val="24"/>
          <w:szCs w:val="24"/>
          <w:shd w:val="clear" w:color="auto" w:fill="FFFFFF"/>
        </w:rPr>
        <w:t>” em concursos públicos e processos seletivos federais</w:t>
      </w:r>
      <w:r w:rsidR="00420580">
        <w:rPr>
          <w:rFonts w:ascii="Times New Roman" w:hAnsi="Times New Roman" w:cs="Times New Roman"/>
          <w:color w:val="000000" w:themeColor="text1"/>
          <w:sz w:val="24"/>
          <w:szCs w:val="24"/>
          <w:shd w:val="clear" w:color="auto" w:fill="FFFFFF"/>
        </w:rPr>
        <w:t>, ampliando, assim, o percentual de cotas anteriormente previsto na Lei n. 12.990/2014</w:t>
      </w:r>
      <w:r w:rsidR="00483D24">
        <w:rPr>
          <w:rFonts w:ascii="Times New Roman" w:hAnsi="Times New Roman" w:cs="Times New Roman"/>
          <w:color w:val="000000" w:themeColor="text1"/>
          <w:sz w:val="24"/>
          <w:szCs w:val="24"/>
          <w:shd w:val="clear" w:color="auto" w:fill="FFFFFF"/>
        </w:rPr>
        <w:t>;</w:t>
      </w:r>
    </w:p>
    <w:p w14:paraId="0E36E312" w14:textId="6BDFC274" w:rsidR="00C802A1" w:rsidRDefault="00994747" w:rsidP="00483D24">
      <w:pPr>
        <w:spacing w:before="240" w:after="24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CONSIDERANDO </w:t>
      </w:r>
      <w:r w:rsidR="00A055D9">
        <w:rPr>
          <w:rFonts w:ascii="Times New Roman" w:hAnsi="Times New Roman" w:cs="Times New Roman"/>
          <w:color w:val="000000" w:themeColor="text1"/>
          <w:sz w:val="24"/>
          <w:szCs w:val="24"/>
          <w:shd w:val="clear" w:color="auto" w:fill="FFFFFF"/>
        </w:rPr>
        <w:t xml:space="preserve">que, tais obrigações foram reafirmadas em âmbito estadual, conforme dispositivos </w:t>
      </w:r>
      <w:r>
        <w:rPr>
          <w:rFonts w:ascii="Times New Roman" w:hAnsi="Times New Roman" w:cs="Times New Roman"/>
          <w:color w:val="000000" w:themeColor="text1"/>
          <w:sz w:val="24"/>
          <w:szCs w:val="24"/>
          <w:shd w:val="clear" w:color="auto" w:fill="FFFFFF"/>
        </w:rPr>
        <w:t xml:space="preserve">da Lei Estadual n. </w:t>
      </w:r>
      <w:r w:rsidR="00762F74">
        <w:rPr>
          <w:rFonts w:ascii="Times New Roman" w:hAnsi="Times New Roman" w:cs="Times New Roman"/>
          <w:color w:val="000000" w:themeColor="text1"/>
          <w:sz w:val="24"/>
          <w:szCs w:val="24"/>
          <w:shd w:val="clear" w:color="auto" w:fill="FFFFFF"/>
        </w:rPr>
        <w:t>25</w:t>
      </w:r>
      <w:r>
        <w:rPr>
          <w:rFonts w:ascii="Times New Roman" w:hAnsi="Times New Roman" w:cs="Times New Roman"/>
          <w:color w:val="000000" w:themeColor="text1"/>
          <w:sz w:val="24"/>
          <w:szCs w:val="24"/>
          <w:shd w:val="clear" w:color="auto" w:fill="FFFFFF"/>
        </w:rPr>
        <w:t>.150/2025</w:t>
      </w:r>
      <w:r w:rsidR="00762F74">
        <w:rPr>
          <w:rFonts w:ascii="Times New Roman" w:hAnsi="Times New Roman" w:cs="Times New Roman"/>
          <w:color w:val="000000" w:themeColor="text1"/>
          <w:sz w:val="24"/>
          <w:szCs w:val="24"/>
          <w:shd w:val="clear" w:color="auto" w:fill="FFFFFF"/>
        </w:rPr>
        <w:t xml:space="preserve"> (Estatuto da Igualdade Racial do Estado de Minas Gerais)</w:t>
      </w:r>
      <w:r w:rsidR="00A055D9">
        <w:rPr>
          <w:rFonts w:ascii="Times New Roman" w:hAnsi="Times New Roman" w:cs="Times New Roman"/>
          <w:color w:val="000000" w:themeColor="text1"/>
          <w:sz w:val="24"/>
          <w:szCs w:val="24"/>
          <w:shd w:val="clear" w:color="auto" w:fill="FFFFFF"/>
        </w:rPr>
        <w:t>, notadamente:</w:t>
      </w:r>
      <w:r w:rsidR="00483D24">
        <w:rPr>
          <w:rFonts w:ascii="Times New Roman" w:hAnsi="Times New Roman" w:cs="Times New Roman"/>
          <w:color w:val="000000" w:themeColor="text1"/>
          <w:sz w:val="24"/>
          <w:szCs w:val="24"/>
          <w:shd w:val="clear" w:color="auto" w:fill="FFFFFF"/>
        </w:rPr>
        <w:t xml:space="preserve"> “</w:t>
      </w:r>
      <w:r w:rsidR="00C802A1" w:rsidRPr="00C802A1">
        <w:rPr>
          <w:rFonts w:ascii="Times New Roman" w:hAnsi="Times New Roman" w:cs="Times New Roman"/>
          <w:color w:val="000000" w:themeColor="text1"/>
          <w:sz w:val="24"/>
          <w:szCs w:val="24"/>
          <w:shd w:val="clear" w:color="auto" w:fill="FFFFFF"/>
        </w:rPr>
        <w:t>Art. 4º – Na implementação pelo Estado do disposto nesta lei, serão observadas as seguintes diretrizes: (...) III – adequação das estruturas institucionais do Estado para o enfrentamento e para a superação das desigualdades raciais decorrentes dos racismos estrutural, institucional, interpessoal, socioambiental e religioso; (...)</w:t>
      </w:r>
      <w:r w:rsidR="00483D24">
        <w:rPr>
          <w:rFonts w:ascii="Times New Roman" w:hAnsi="Times New Roman" w:cs="Times New Roman"/>
          <w:color w:val="000000" w:themeColor="text1"/>
          <w:sz w:val="24"/>
          <w:szCs w:val="24"/>
          <w:shd w:val="clear" w:color="auto" w:fill="FFFFFF"/>
        </w:rPr>
        <w:t xml:space="preserve"> </w:t>
      </w:r>
      <w:r w:rsidR="00C802A1" w:rsidRPr="00C802A1">
        <w:rPr>
          <w:rFonts w:ascii="Times New Roman" w:hAnsi="Times New Roman" w:cs="Times New Roman"/>
          <w:color w:val="000000" w:themeColor="text1"/>
          <w:sz w:val="24"/>
          <w:szCs w:val="24"/>
          <w:shd w:val="clear" w:color="auto" w:fill="FFFFFF"/>
        </w:rPr>
        <w:t xml:space="preserve">VI – garantia de superação dos obstáculos históricos, socioculturais e institucionais que impedem a representação da diversidade étnico-racial </w:t>
      </w:r>
      <w:r w:rsidR="00C802A1" w:rsidRPr="00C802A1">
        <w:rPr>
          <w:rFonts w:ascii="Times New Roman" w:hAnsi="Times New Roman" w:cs="Times New Roman"/>
          <w:color w:val="000000" w:themeColor="text1"/>
          <w:sz w:val="24"/>
          <w:szCs w:val="24"/>
          <w:shd w:val="clear" w:color="auto" w:fill="FFFFFF"/>
        </w:rPr>
        <w:lastRenderedPageBreak/>
        <w:t>nas esferas pública e privada; VIII – instituição de ações afirmativas, compensatórias e reparatórias, visando ao enfrentamento dos racismos estrutural, institucional, interpessoal, socioambiental e religioso</w:t>
      </w:r>
      <w:r w:rsidR="00483D24">
        <w:rPr>
          <w:rFonts w:ascii="Times New Roman" w:hAnsi="Times New Roman" w:cs="Times New Roman"/>
          <w:color w:val="000000" w:themeColor="text1"/>
          <w:sz w:val="24"/>
          <w:szCs w:val="24"/>
          <w:shd w:val="clear" w:color="auto" w:fill="FFFFFF"/>
        </w:rPr>
        <w:t>”</w:t>
      </w:r>
      <w:r w:rsidR="005D668F">
        <w:rPr>
          <w:rFonts w:ascii="Times New Roman" w:hAnsi="Times New Roman" w:cs="Times New Roman"/>
          <w:color w:val="000000" w:themeColor="text1"/>
          <w:sz w:val="24"/>
          <w:szCs w:val="24"/>
          <w:shd w:val="clear" w:color="auto" w:fill="FFFFFF"/>
        </w:rPr>
        <w:t>;</w:t>
      </w:r>
    </w:p>
    <w:p w14:paraId="036E716E" w14:textId="1852FF54" w:rsidR="00A02876" w:rsidRPr="00C22EE2" w:rsidRDefault="005D668F" w:rsidP="00DC318E">
      <w:pPr>
        <w:spacing w:before="240" w:after="240"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CONSIDERANDO </w:t>
      </w:r>
      <w:r w:rsidRPr="005D668F">
        <w:rPr>
          <w:rFonts w:ascii="Times New Roman" w:hAnsi="Times New Roman" w:cs="Times New Roman"/>
          <w:color w:val="000000" w:themeColor="text1"/>
          <w:sz w:val="24"/>
          <w:szCs w:val="24"/>
          <w:shd w:val="clear" w:color="auto" w:fill="FFFFFF"/>
        </w:rPr>
        <w:t xml:space="preserve">ainda </w:t>
      </w:r>
      <w:r>
        <w:rPr>
          <w:rFonts w:ascii="Times New Roman" w:hAnsi="Times New Roman" w:cs="Times New Roman"/>
          <w:color w:val="000000" w:themeColor="text1"/>
          <w:sz w:val="24"/>
          <w:szCs w:val="24"/>
          <w:shd w:val="clear" w:color="auto" w:fill="FFFFFF"/>
        </w:rPr>
        <w:t xml:space="preserve">que a Lei Estadual n. 25.150/2025 (Estatuto da Igualdade Racial do Estado de Minas Gerais) previu expressamente o dever </w:t>
      </w:r>
      <w:r w:rsidR="00C22EE2">
        <w:rPr>
          <w:rFonts w:ascii="Times New Roman" w:hAnsi="Times New Roman" w:cs="Times New Roman"/>
          <w:color w:val="000000" w:themeColor="text1"/>
          <w:sz w:val="24"/>
          <w:szCs w:val="24"/>
          <w:shd w:val="clear" w:color="auto" w:fill="FFFFFF"/>
        </w:rPr>
        <w:t>de promoção</w:t>
      </w:r>
      <w:r w:rsidR="00404680">
        <w:rPr>
          <w:rFonts w:ascii="Times New Roman" w:hAnsi="Times New Roman" w:cs="Times New Roman"/>
          <w:color w:val="000000" w:themeColor="text1"/>
          <w:sz w:val="24"/>
          <w:szCs w:val="24"/>
          <w:shd w:val="clear" w:color="auto" w:fill="FFFFFF"/>
        </w:rPr>
        <w:t xml:space="preserve"> </w:t>
      </w:r>
      <w:r w:rsidR="00C22EE2">
        <w:rPr>
          <w:rFonts w:ascii="Times New Roman" w:hAnsi="Times New Roman" w:cs="Times New Roman"/>
          <w:color w:val="000000" w:themeColor="text1"/>
          <w:sz w:val="24"/>
          <w:szCs w:val="24"/>
          <w:shd w:val="clear" w:color="auto" w:fill="FFFFFF"/>
        </w:rPr>
        <w:t>de</w:t>
      </w:r>
      <w:r w:rsidR="00404680">
        <w:rPr>
          <w:rFonts w:ascii="Times New Roman" w:hAnsi="Times New Roman" w:cs="Times New Roman"/>
          <w:color w:val="000000" w:themeColor="text1"/>
          <w:sz w:val="24"/>
          <w:szCs w:val="24"/>
          <w:shd w:val="clear" w:color="auto" w:fill="FFFFFF"/>
        </w:rPr>
        <w:t xml:space="preserve"> ações afirmativas </w:t>
      </w:r>
      <w:r w:rsidR="00C22EE2">
        <w:rPr>
          <w:rFonts w:ascii="Times New Roman" w:hAnsi="Times New Roman" w:cs="Times New Roman"/>
          <w:color w:val="000000" w:themeColor="text1"/>
          <w:sz w:val="24"/>
          <w:szCs w:val="24"/>
          <w:shd w:val="clear" w:color="auto" w:fill="FFFFFF"/>
        </w:rPr>
        <w:t xml:space="preserve">de cunho racial </w:t>
      </w:r>
      <w:r w:rsidR="00404680">
        <w:rPr>
          <w:rFonts w:ascii="Times New Roman" w:hAnsi="Times New Roman" w:cs="Times New Roman"/>
          <w:color w:val="000000" w:themeColor="text1"/>
          <w:sz w:val="24"/>
          <w:szCs w:val="24"/>
          <w:shd w:val="clear" w:color="auto" w:fill="FFFFFF"/>
        </w:rPr>
        <w:t>para o acesso ao mercado de trabalho e aos cargos e empregos da Administração Pública Estadual direta e indireta, nos seguintes termos: “</w:t>
      </w:r>
      <w:r w:rsidR="00C802A1" w:rsidRPr="00C802A1">
        <w:rPr>
          <w:rFonts w:ascii="Times New Roman" w:hAnsi="Times New Roman" w:cs="Times New Roman"/>
          <w:color w:val="000000" w:themeColor="text1"/>
          <w:sz w:val="24"/>
          <w:szCs w:val="24"/>
          <w:shd w:val="clear" w:color="auto" w:fill="FFFFFF"/>
        </w:rPr>
        <w:t>Art. 19 – Na implementação pelo Estado das ações destinadas à inclusão no mercado de trabalho da população negra e dos povos e das comunidades tradicionais, serão observadas as seguintes diretrizes: I – promoção de ações afirmativas para oferta de trabalho formal;</w:t>
      </w:r>
      <w:r w:rsidR="00404680">
        <w:rPr>
          <w:rFonts w:ascii="Times New Roman" w:hAnsi="Times New Roman" w:cs="Times New Roman"/>
          <w:color w:val="000000" w:themeColor="text1"/>
          <w:sz w:val="24"/>
          <w:szCs w:val="24"/>
          <w:shd w:val="clear" w:color="auto" w:fill="FFFFFF"/>
        </w:rPr>
        <w:t xml:space="preserve"> (...)</w:t>
      </w:r>
      <w:r w:rsidR="00C802A1" w:rsidRPr="00C802A1">
        <w:rPr>
          <w:rFonts w:ascii="Times New Roman" w:hAnsi="Times New Roman" w:cs="Times New Roman"/>
          <w:color w:val="000000" w:themeColor="text1"/>
          <w:sz w:val="24"/>
          <w:szCs w:val="24"/>
          <w:shd w:val="clear" w:color="auto" w:fill="FFFFFF"/>
        </w:rPr>
        <w:t xml:space="preserve"> III – igualdade de oportunidades para o acesso a cargos, empregos e contratos com a administração estadual direta e indireta</w:t>
      </w:r>
      <w:r w:rsidR="00404680">
        <w:rPr>
          <w:rFonts w:ascii="Times New Roman" w:hAnsi="Times New Roman" w:cs="Times New Roman"/>
          <w:color w:val="000000" w:themeColor="text1"/>
          <w:sz w:val="24"/>
          <w:szCs w:val="24"/>
          <w:shd w:val="clear" w:color="auto" w:fill="FFFFFF"/>
        </w:rPr>
        <w:t>”</w:t>
      </w:r>
      <w:r w:rsidR="00C22EE2">
        <w:rPr>
          <w:rFonts w:ascii="Times New Roman" w:hAnsi="Times New Roman" w:cs="Times New Roman"/>
          <w:color w:val="000000" w:themeColor="text1"/>
          <w:sz w:val="24"/>
          <w:szCs w:val="24"/>
          <w:shd w:val="clear" w:color="auto" w:fill="FFFFFF"/>
        </w:rPr>
        <w:t>;</w:t>
      </w:r>
    </w:p>
    <w:p w14:paraId="5A1C1C32" w14:textId="2F11B810" w:rsidR="00B33E03" w:rsidRPr="009642BF" w:rsidRDefault="00CC0800" w:rsidP="00DC318E">
      <w:pPr>
        <w:spacing w:before="240" w:after="240" w:line="360" w:lineRule="auto"/>
        <w:jc w:val="both"/>
        <w:rPr>
          <w:rFonts w:ascii="Times New Roman" w:hAnsi="Times New Roman" w:cs="Times New Roman"/>
          <w:color w:val="000000" w:themeColor="text1"/>
          <w:sz w:val="24"/>
          <w:szCs w:val="24"/>
        </w:rPr>
      </w:pPr>
      <w:r w:rsidRPr="00995F3B">
        <w:rPr>
          <w:rFonts w:ascii="Times New Roman" w:eastAsia="Times New Roman" w:hAnsi="Times New Roman" w:cs="Times New Roman"/>
          <w:b/>
          <w:color w:val="000000" w:themeColor="text1"/>
          <w:sz w:val="24"/>
          <w:szCs w:val="24"/>
        </w:rPr>
        <w:t xml:space="preserve">CONSIDERANDO </w:t>
      </w:r>
      <w:r w:rsidR="00613192">
        <w:rPr>
          <w:rFonts w:ascii="Times New Roman" w:hAnsi="Times New Roman" w:cs="Times New Roman"/>
          <w:color w:val="000000" w:themeColor="text1"/>
          <w:sz w:val="24"/>
          <w:szCs w:val="24"/>
        </w:rPr>
        <w:t xml:space="preserve">a decisão </w:t>
      </w:r>
      <w:r w:rsidR="00EC329F">
        <w:rPr>
          <w:rFonts w:ascii="Times New Roman" w:hAnsi="Times New Roman" w:cs="Times New Roman"/>
          <w:color w:val="000000" w:themeColor="text1"/>
          <w:sz w:val="24"/>
          <w:szCs w:val="24"/>
        </w:rPr>
        <w:t xml:space="preserve">proferida </w:t>
      </w:r>
      <w:r w:rsidR="00EC329F" w:rsidRPr="009642BF">
        <w:rPr>
          <w:rFonts w:ascii="Times New Roman" w:hAnsi="Times New Roman" w:cs="Times New Roman"/>
          <w:color w:val="000000" w:themeColor="text1"/>
          <w:sz w:val="24"/>
          <w:szCs w:val="24"/>
        </w:rPr>
        <w:t>pelo</w:t>
      </w:r>
      <w:r w:rsidR="00613192" w:rsidRPr="009642BF">
        <w:rPr>
          <w:rFonts w:ascii="Times New Roman" w:hAnsi="Times New Roman" w:cs="Times New Roman"/>
          <w:color w:val="000000" w:themeColor="text1"/>
          <w:sz w:val="24"/>
          <w:szCs w:val="24"/>
        </w:rPr>
        <w:t xml:space="preserve"> </w:t>
      </w:r>
      <w:r w:rsidR="00EC329F" w:rsidRPr="009642BF">
        <w:rPr>
          <w:rFonts w:ascii="Times New Roman" w:hAnsi="Times New Roman" w:cs="Times New Roman"/>
          <w:color w:val="000000" w:themeColor="text1"/>
          <w:sz w:val="24"/>
          <w:szCs w:val="24"/>
        </w:rPr>
        <w:t>Supremo Tribunal Federal</w:t>
      </w:r>
      <w:r w:rsidR="00613192" w:rsidRPr="009642BF">
        <w:rPr>
          <w:rFonts w:ascii="Times New Roman" w:hAnsi="Times New Roman" w:cs="Times New Roman"/>
          <w:color w:val="000000" w:themeColor="text1"/>
          <w:sz w:val="24"/>
          <w:szCs w:val="24"/>
        </w:rPr>
        <w:t xml:space="preserve"> na Ação Declaratória de Constitucionalidad</w:t>
      </w:r>
      <w:r w:rsidR="00F82463" w:rsidRPr="009642BF">
        <w:rPr>
          <w:rFonts w:ascii="Times New Roman" w:hAnsi="Times New Roman" w:cs="Times New Roman"/>
          <w:color w:val="000000" w:themeColor="text1"/>
          <w:sz w:val="24"/>
          <w:szCs w:val="24"/>
        </w:rPr>
        <w:t xml:space="preserve">e </w:t>
      </w:r>
      <w:r w:rsidR="00EC329F" w:rsidRPr="009642BF">
        <w:rPr>
          <w:rFonts w:ascii="Times New Roman" w:hAnsi="Times New Roman" w:cs="Times New Roman"/>
          <w:color w:val="000000" w:themeColor="text1"/>
          <w:sz w:val="24"/>
          <w:szCs w:val="24"/>
        </w:rPr>
        <w:t>– ADC n</w:t>
      </w:r>
      <w:r w:rsidR="00F82463" w:rsidRPr="009642BF">
        <w:rPr>
          <w:rFonts w:ascii="Times New Roman" w:hAnsi="Times New Roman" w:cs="Times New Roman"/>
          <w:color w:val="000000" w:themeColor="text1"/>
          <w:sz w:val="24"/>
          <w:szCs w:val="24"/>
        </w:rPr>
        <w:t xml:space="preserve">. 41, nos seguintes termos: </w:t>
      </w:r>
      <w:r w:rsidR="00EC329F" w:rsidRPr="009642BF">
        <w:rPr>
          <w:rFonts w:ascii="Times New Roman" w:hAnsi="Times New Roman" w:cs="Times New Roman"/>
          <w:color w:val="000000" w:themeColor="text1"/>
          <w:sz w:val="24"/>
          <w:szCs w:val="24"/>
        </w:rPr>
        <w:t>“</w:t>
      </w:r>
      <w:r w:rsidR="00F82463" w:rsidRPr="009642BF">
        <w:rPr>
          <w:rFonts w:ascii="Times New Roman" w:hAnsi="Times New Roman" w:cs="Times New Roman"/>
          <w:color w:val="000000" w:themeColor="text1"/>
          <w:sz w:val="24"/>
          <w:szCs w:val="24"/>
        </w:rPr>
        <w:t>É constitucional a reserva de 20% das vagas oferecidas nos concursos públicos para provimento de cargos efetivos e empregos públicos no âmbito da administração pública direta e indireta</w:t>
      </w:r>
      <w:r w:rsidR="00EC329F" w:rsidRPr="009642BF">
        <w:rPr>
          <w:rFonts w:ascii="Times New Roman" w:hAnsi="Times New Roman" w:cs="Times New Roman"/>
          <w:color w:val="000000" w:themeColor="text1"/>
          <w:sz w:val="24"/>
          <w:szCs w:val="24"/>
        </w:rPr>
        <w:t>” (</w:t>
      </w:r>
      <w:r w:rsidR="00F82463" w:rsidRPr="009642BF">
        <w:rPr>
          <w:rFonts w:ascii="Times New Roman" w:hAnsi="Times New Roman" w:cs="Times New Roman"/>
          <w:color w:val="000000" w:themeColor="text1"/>
          <w:sz w:val="24"/>
          <w:szCs w:val="24"/>
        </w:rPr>
        <w:t>STF. Plenário. ADC 41/DF, Rel. Min. Roberto Barroso, julgado em 8/6/2017</w:t>
      </w:r>
      <w:r w:rsidR="00EC329F" w:rsidRPr="009642BF">
        <w:rPr>
          <w:rFonts w:ascii="Times New Roman" w:hAnsi="Times New Roman" w:cs="Times New Roman"/>
          <w:color w:val="000000" w:themeColor="text1"/>
          <w:sz w:val="24"/>
          <w:szCs w:val="24"/>
        </w:rPr>
        <w:t>);</w:t>
      </w:r>
    </w:p>
    <w:p w14:paraId="58083878" w14:textId="205DD006" w:rsidR="00A20C05" w:rsidRDefault="00F34DD2" w:rsidP="00DC318E">
      <w:pPr>
        <w:spacing w:before="240" w:after="240" w:line="360" w:lineRule="auto"/>
        <w:jc w:val="both"/>
        <w:rPr>
          <w:rFonts w:ascii="Times New Roman" w:eastAsia="Times New Roman" w:hAnsi="Times New Roman"/>
          <w:sz w:val="24"/>
          <w:szCs w:val="24"/>
          <w:lang w:eastAsia="ar-SA"/>
        </w:rPr>
      </w:pPr>
      <w:r w:rsidRPr="00BC37FA">
        <w:rPr>
          <w:rFonts w:ascii="Times New Roman" w:eastAsia="Times New Roman" w:hAnsi="Times New Roman" w:cs="Times New Roman"/>
          <w:b/>
          <w:sz w:val="24"/>
          <w:szCs w:val="24"/>
        </w:rPr>
        <w:t>CONSIDERANDO</w:t>
      </w:r>
      <w:r w:rsidR="009C4A08" w:rsidRPr="00BC37FA">
        <w:rPr>
          <w:rFonts w:ascii="Times New Roman" w:eastAsia="Times New Roman" w:hAnsi="Times New Roman" w:cs="Times New Roman"/>
          <w:b/>
          <w:sz w:val="24"/>
          <w:szCs w:val="24"/>
        </w:rPr>
        <w:t xml:space="preserve"> </w:t>
      </w:r>
      <w:r w:rsidR="009C4A08" w:rsidRPr="00BC37FA">
        <w:rPr>
          <w:rFonts w:ascii="Times New Roman" w:eastAsia="Times New Roman" w:hAnsi="Times New Roman" w:cs="Times New Roman"/>
          <w:bCs/>
          <w:sz w:val="24"/>
          <w:szCs w:val="24"/>
        </w:rPr>
        <w:t xml:space="preserve">o entendimento firmado </w:t>
      </w:r>
      <w:r w:rsidR="00A20C05">
        <w:rPr>
          <w:rFonts w:ascii="Times New Roman" w:eastAsia="Times New Roman" w:hAnsi="Times New Roman" w:cs="Times New Roman"/>
          <w:bCs/>
          <w:sz w:val="24"/>
          <w:szCs w:val="24"/>
        </w:rPr>
        <w:t>pelo</w:t>
      </w:r>
      <w:r w:rsidR="009C4A08" w:rsidRPr="00BC37FA">
        <w:rPr>
          <w:rFonts w:ascii="Times New Roman" w:eastAsia="Times New Roman" w:hAnsi="Times New Roman" w:cs="Times New Roman"/>
          <w:bCs/>
          <w:sz w:val="24"/>
          <w:szCs w:val="24"/>
        </w:rPr>
        <w:t xml:space="preserve"> Tribunal de Justiça de Minas Gerais,</w:t>
      </w:r>
      <w:r w:rsidR="00BC37FA" w:rsidRPr="00BC37FA">
        <w:rPr>
          <w:rFonts w:ascii="Times New Roman" w:eastAsia="Times New Roman" w:hAnsi="Times New Roman" w:cs="Times New Roman"/>
          <w:bCs/>
          <w:sz w:val="24"/>
          <w:szCs w:val="24"/>
        </w:rPr>
        <w:t xml:space="preserve"> no julgamento do Agravo de Instrumento n. </w:t>
      </w:r>
      <w:r w:rsidR="00BC37FA" w:rsidRPr="00BC37FA">
        <w:rPr>
          <w:rFonts w:ascii="Times New Roman" w:eastAsia="Times New Roman" w:hAnsi="Times New Roman"/>
          <w:sz w:val="24"/>
          <w:szCs w:val="24"/>
          <w:lang w:eastAsia="ar-SA"/>
        </w:rPr>
        <w:t>1.0000.23.052458</w:t>
      </w:r>
      <w:r w:rsidR="00BC37FA" w:rsidRPr="009F33A8">
        <w:rPr>
          <w:rFonts w:ascii="Times New Roman" w:eastAsia="Times New Roman" w:hAnsi="Times New Roman"/>
          <w:sz w:val="24"/>
          <w:szCs w:val="24"/>
          <w:lang w:eastAsia="ar-SA"/>
        </w:rPr>
        <w:t>-9/00</w:t>
      </w:r>
      <w:r w:rsidR="00BC37FA">
        <w:rPr>
          <w:rFonts w:ascii="Times New Roman" w:eastAsia="Times New Roman" w:hAnsi="Times New Roman"/>
          <w:sz w:val="24"/>
          <w:szCs w:val="24"/>
          <w:lang w:eastAsia="ar-SA"/>
        </w:rPr>
        <w:t xml:space="preserve">, no sentido de que as obrigações da Lei </w:t>
      </w:r>
      <w:r w:rsidR="00A20C05">
        <w:rPr>
          <w:rFonts w:ascii="Times New Roman" w:eastAsia="Times New Roman" w:hAnsi="Times New Roman"/>
          <w:sz w:val="24"/>
          <w:szCs w:val="24"/>
          <w:lang w:eastAsia="ar-SA"/>
        </w:rPr>
        <w:t xml:space="preserve">Federal n. </w:t>
      </w:r>
      <w:r w:rsidR="00BC37FA">
        <w:rPr>
          <w:rFonts w:ascii="Times New Roman" w:eastAsia="Times New Roman" w:hAnsi="Times New Roman"/>
          <w:sz w:val="24"/>
          <w:szCs w:val="24"/>
          <w:lang w:eastAsia="ar-SA"/>
        </w:rPr>
        <w:t>12.990/14 seriam de observância obrigatória para todos os entes federativos</w:t>
      </w:r>
      <w:r w:rsidR="00A20C05">
        <w:rPr>
          <w:rFonts w:ascii="Times New Roman" w:eastAsia="Times New Roman" w:hAnsi="Times New Roman"/>
          <w:sz w:val="24"/>
          <w:szCs w:val="24"/>
          <w:lang w:eastAsia="ar-SA"/>
        </w:rPr>
        <w:t>, nos seguintes termos “</w:t>
      </w:r>
      <w:r w:rsidR="00A20C05" w:rsidRPr="00A20C05">
        <w:rPr>
          <w:rFonts w:ascii="Times New Roman" w:eastAsia="Times New Roman" w:hAnsi="Times New Roman"/>
          <w:sz w:val="24"/>
          <w:szCs w:val="24"/>
          <w:lang w:eastAsia="ar-SA"/>
        </w:rPr>
        <w:t xml:space="preserve">EMENTA: AGRAVO DE INSTRUMENTO. MANDADO DE SEGURANÇA. CONCURSO PÚBLICO. FICHA DE INSCRIÇÃO QUE PREVÊ A OFERTA DE VAGAS DESTINADAS A PESSOAS NEGRAS. EDITAL OMISSO QUANTO ÀS VAGAS DESTINADAS AOS CANDIDATOS NEGROS. CONTRADIÇÃO ENTRE O EDITAL E O TERMO DE INSCRIÇÃO PREENCHIDO PELO CANDIDATO. PEDIDO DE SUSPENSÃO DA TRAMITAÇÃO DO CONCURSO PÚBLICO. POSSIBILIDADE. PRESENÇA DOS REQUISITOS NECESSÁRIOS PARA O DEFERIMENTO DA MEDIDA. DECISÃO REFORMADA. RECURSO PROVIDO. </w:t>
      </w:r>
      <w:r w:rsidR="00A20C05" w:rsidRPr="000240AE">
        <w:rPr>
          <w:rFonts w:ascii="Times New Roman" w:eastAsia="Times New Roman" w:hAnsi="Times New Roman"/>
          <w:sz w:val="24"/>
          <w:szCs w:val="24"/>
          <w:lang w:eastAsia="ar-SA"/>
        </w:rPr>
        <w:t xml:space="preserve">Ao julgar a ADI 41, o STF firmou entendimento no sentido de </w:t>
      </w:r>
      <w:r w:rsidR="00A20C05" w:rsidRPr="000240AE">
        <w:rPr>
          <w:rFonts w:ascii="Times New Roman" w:eastAsia="Times New Roman" w:hAnsi="Times New Roman"/>
          <w:sz w:val="24"/>
          <w:szCs w:val="24"/>
          <w:lang w:eastAsia="ar-SA"/>
        </w:rPr>
        <w:lastRenderedPageBreak/>
        <w:t>que a Lei n° 12.990/14, que institui a reserva de 20% das vagas a candidatos negros, no âmbito dos concursos públicos da esfera federal, é constitucional. E, em função do mencionado julgamento, a obrigação imposta pela referida lei passou a ser obrigatória para todos os entes federativos, não só em observância ao princípio da simetria, como também em função do caráter eminentemente humano dos Direitos que visam a igualdade racial. Além de o edital violar normas constitucionais e infraconstitucionais ao não reservar vagas para candidatos negros, é de se considerar que a ficha de inscrição vincula a administração tanto quanto o edital propriamente dito. Recurso provido para que seja suspensa a tramitação do concurso público em questão até decisão final do mandado de segurança.  (TJMG - Agravo de Instrumento-Cv 1.0000</w:t>
      </w:r>
      <w:r w:rsidR="00A20C05" w:rsidRPr="00A20C05">
        <w:rPr>
          <w:rFonts w:ascii="Times New Roman" w:eastAsia="Times New Roman" w:hAnsi="Times New Roman"/>
          <w:sz w:val="24"/>
          <w:szCs w:val="24"/>
          <w:lang w:eastAsia="ar-SA"/>
        </w:rPr>
        <w:t xml:space="preserve">.23.052458-9/001, Relator: Des. Armando Freire, 1ª </w:t>
      </w:r>
      <w:r w:rsidR="00B07345" w:rsidRPr="00A20C05">
        <w:rPr>
          <w:rFonts w:ascii="Times New Roman" w:eastAsia="Times New Roman" w:hAnsi="Times New Roman"/>
          <w:sz w:val="24"/>
          <w:szCs w:val="24"/>
          <w:lang w:eastAsia="ar-SA"/>
        </w:rPr>
        <w:t>Câmara Cível</w:t>
      </w:r>
      <w:r w:rsidR="00A20C05" w:rsidRPr="00A20C05">
        <w:rPr>
          <w:rFonts w:ascii="Times New Roman" w:eastAsia="Times New Roman" w:hAnsi="Times New Roman"/>
          <w:sz w:val="24"/>
          <w:szCs w:val="24"/>
          <w:lang w:eastAsia="ar-SA"/>
        </w:rPr>
        <w:t>, julgamento em 31/01/2024, súmula em 01/02/2024)</w:t>
      </w:r>
      <w:r w:rsidR="00A20C05">
        <w:rPr>
          <w:rFonts w:ascii="Times New Roman" w:eastAsia="Times New Roman" w:hAnsi="Times New Roman"/>
          <w:sz w:val="24"/>
          <w:szCs w:val="24"/>
          <w:lang w:eastAsia="ar-SA"/>
        </w:rPr>
        <w:t>”;</w:t>
      </w:r>
    </w:p>
    <w:p w14:paraId="0C932C2E" w14:textId="63E4A807" w:rsidR="00A20C05" w:rsidRPr="00A20C05" w:rsidRDefault="00A20C05" w:rsidP="00DC318E">
      <w:pPr>
        <w:spacing w:before="240" w:after="240" w:line="360" w:lineRule="auto"/>
        <w:jc w:val="both"/>
        <w:rPr>
          <w:rStyle w:val="Hyperlink"/>
          <w:rFonts w:ascii="Times New Roman" w:eastAsia="Times New Roman" w:hAnsi="Times New Roman"/>
          <w:sz w:val="24"/>
          <w:szCs w:val="24"/>
          <w:lang w:eastAsia="ar-SA"/>
        </w:rPr>
      </w:pPr>
      <w:r w:rsidRPr="00A20C05">
        <w:rPr>
          <w:rFonts w:ascii="Times New Roman" w:eastAsia="Times New Roman" w:hAnsi="Times New Roman"/>
          <w:b/>
          <w:bCs/>
          <w:sz w:val="24"/>
          <w:szCs w:val="24"/>
          <w:lang w:eastAsia="ar-SA"/>
        </w:rPr>
        <w:t>CONSIDERANDO</w:t>
      </w:r>
      <w:r w:rsidRPr="00A20C05">
        <w:rPr>
          <w:rFonts w:ascii="Times New Roman" w:eastAsia="Times New Roman" w:hAnsi="Times New Roman"/>
          <w:sz w:val="24"/>
          <w:szCs w:val="24"/>
          <w:lang w:eastAsia="ar-SA"/>
        </w:rPr>
        <w:t xml:space="preserve"> que</w:t>
      </w:r>
      <w:r w:rsidR="00B07345">
        <w:rPr>
          <w:rFonts w:ascii="Times New Roman" w:eastAsia="Times New Roman" w:hAnsi="Times New Roman"/>
          <w:sz w:val="24"/>
          <w:szCs w:val="24"/>
          <w:lang w:eastAsia="ar-SA"/>
        </w:rPr>
        <w:t xml:space="preserve"> o STF</w:t>
      </w:r>
      <w:r w:rsidRPr="00A20C05">
        <w:rPr>
          <w:rFonts w:ascii="Times New Roman" w:eastAsia="Times New Roman" w:hAnsi="Times New Roman"/>
          <w:sz w:val="24"/>
          <w:szCs w:val="24"/>
          <w:lang w:eastAsia="ar-SA"/>
        </w:rPr>
        <w:t xml:space="preserve">, no julgamento da ADPF 186, ao tratar das cotas reservadas aos negros e indígenas para ingresso nas universidades públicas, além de afirmar a </w:t>
      </w:r>
      <w:r w:rsidRPr="00B07345">
        <w:rPr>
          <w:rFonts w:ascii="Times New Roman" w:eastAsia="Times New Roman" w:hAnsi="Times New Roman"/>
          <w:sz w:val="24"/>
          <w:szCs w:val="24"/>
          <w:lang w:eastAsia="ar-SA"/>
        </w:rPr>
        <w:t>constitucionalidade das políticas de ação afirmativa,</w:t>
      </w:r>
      <w:r w:rsidRPr="00A20C05">
        <w:rPr>
          <w:rFonts w:ascii="Times New Roman" w:eastAsia="Times New Roman" w:hAnsi="Times New Roman"/>
          <w:sz w:val="24"/>
          <w:szCs w:val="24"/>
          <w:lang w:eastAsia="ar-SA"/>
        </w:rPr>
        <w:t xml:space="preserve"> consignou importantes considerações acerca destas, </w:t>
      </w:r>
      <w:r w:rsidR="00B07345">
        <w:rPr>
          <w:rFonts w:ascii="Times New Roman" w:eastAsia="Times New Roman" w:hAnsi="Times New Roman"/>
          <w:sz w:val="24"/>
          <w:szCs w:val="24"/>
          <w:lang w:eastAsia="ar-SA"/>
        </w:rPr>
        <w:t>com destaque para o trecho do</w:t>
      </w:r>
      <w:r w:rsidRPr="00A20C05">
        <w:rPr>
          <w:rFonts w:ascii="Times New Roman" w:eastAsia="Times New Roman" w:hAnsi="Times New Roman"/>
          <w:sz w:val="24"/>
          <w:szCs w:val="24"/>
          <w:lang w:eastAsia="ar-SA"/>
        </w:rPr>
        <w:t xml:space="preserve"> voto </w:t>
      </w:r>
      <w:r w:rsidR="00B07345">
        <w:rPr>
          <w:rFonts w:ascii="Times New Roman" w:eastAsia="Times New Roman" w:hAnsi="Times New Roman"/>
          <w:sz w:val="24"/>
          <w:szCs w:val="24"/>
          <w:lang w:eastAsia="ar-SA"/>
        </w:rPr>
        <w:t>reator</w:t>
      </w:r>
      <w:r w:rsidRPr="00A20C05">
        <w:rPr>
          <w:rFonts w:ascii="Times New Roman" w:eastAsia="Times New Roman" w:hAnsi="Times New Roman"/>
          <w:sz w:val="24"/>
          <w:szCs w:val="24"/>
          <w:lang w:eastAsia="ar-SA"/>
        </w:rPr>
        <w:t xml:space="preserve">, </w:t>
      </w:r>
      <w:r w:rsidRPr="00A20C05">
        <w:rPr>
          <w:rFonts w:ascii="Times New Roman" w:eastAsia="Times New Roman" w:hAnsi="Times New Roman"/>
          <w:i/>
          <w:iCs/>
          <w:sz w:val="24"/>
          <w:szCs w:val="24"/>
          <w:lang w:eastAsia="ar-SA"/>
        </w:rPr>
        <w:t>in verbis</w:t>
      </w:r>
      <w:r w:rsidRPr="00A20C05">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r w:rsidRPr="00A20C05">
        <w:rPr>
          <w:rFonts w:ascii="Times New Roman" w:eastAsia="Times New Roman" w:hAnsi="Times New Roman"/>
          <w:sz w:val="24"/>
          <w:szCs w:val="24"/>
          <w:lang w:eastAsia="ar-SA"/>
        </w:rPr>
        <w:t xml:space="preserve">“Como é de conhecimento geral, o </w:t>
      </w:r>
      <w:r w:rsidRPr="000240AE">
        <w:rPr>
          <w:rFonts w:ascii="Times New Roman" w:eastAsia="Times New Roman" w:hAnsi="Times New Roman"/>
          <w:sz w:val="24"/>
          <w:szCs w:val="24"/>
          <w:lang w:eastAsia="ar-SA"/>
        </w:rPr>
        <w:t>reduzido número de negros e pardos que exercem cargos ou funções de relevo em nossa sociedade, seja na esfera pública, seja na privada, resulta da discriminação histórica que as sucessivas gerações de pessoas pertencentes a esses grupos têm sofrido, ainda que na maior parte das vezes de forma camuflada ou implícita. Os programas de ação afirmativa em sociedades em que isso ocorre, entre as quais a nossa, são uma forma de compensar essa discriminação, culturalmente arraigada, não raro, praticada de forma inconsciente e à sombra de um Estado complacente</w:t>
      </w:r>
      <w:r w:rsidRPr="00A20C05">
        <w:rPr>
          <w:rFonts w:ascii="Times New Roman" w:eastAsia="Times New Roman" w:hAnsi="Times New Roman"/>
          <w:sz w:val="24"/>
          <w:szCs w:val="24"/>
          <w:lang w:eastAsia="ar-SA"/>
        </w:rPr>
        <w:t>”</w:t>
      </w:r>
      <w:r>
        <w:rPr>
          <w:rFonts w:ascii="Times New Roman" w:eastAsia="Times New Roman" w:hAnsi="Times New Roman"/>
          <w:sz w:val="24"/>
          <w:szCs w:val="24"/>
          <w:lang w:eastAsia="ar-SA"/>
        </w:rPr>
        <w:t xml:space="preserve"> </w:t>
      </w:r>
      <w:r w:rsidRPr="00A20C05">
        <w:rPr>
          <w:rFonts w:ascii="Times New Roman" w:eastAsia="Times New Roman" w:hAnsi="Times New Roman"/>
          <w:sz w:val="24"/>
          <w:szCs w:val="24"/>
          <w:lang w:eastAsia="ar-SA"/>
        </w:rPr>
        <w:t xml:space="preserve">(ADPF 186, Relator: Ricardo Lewandowski, Tribunal Pleno, julgado 26-04-2012, Acórdão Eletrônico DJe-205  </w:t>
      </w:r>
      <w:r w:rsidR="00B07345" w:rsidRPr="00A20C05">
        <w:rPr>
          <w:rFonts w:ascii="Times New Roman" w:eastAsia="Times New Roman" w:hAnsi="Times New Roman"/>
          <w:sz w:val="24"/>
          <w:szCs w:val="24"/>
          <w:lang w:eastAsia="ar-SA"/>
        </w:rPr>
        <w:t xml:space="preserve">DIVULG </w:t>
      </w:r>
      <w:r w:rsidRPr="00A20C05">
        <w:rPr>
          <w:rFonts w:ascii="Times New Roman" w:eastAsia="Times New Roman" w:hAnsi="Times New Roman"/>
          <w:sz w:val="24"/>
          <w:szCs w:val="24"/>
          <w:lang w:eastAsia="ar-SA"/>
        </w:rPr>
        <w:t xml:space="preserve">17-10-2014  </w:t>
      </w:r>
      <w:r w:rsidR="00B07345" w:rsidRPr="00A20C05">
        <w:rPr>
          <w:rFonts w:ascii="Times New Roman" w:eastAsia="Times New Roman" w:hAnsi="Times New Roman"/>
          <w:sz w:val="24"/>
          <w:szCs w:val="24"/>
          <w:lang w:eastAsia="ar-SA"/>
        </w:rPr>
        <w:t xml:space="preserve">PUBLIC </w:t>
      </w:r>
      <w:r w:rsidRPr="00A20C05">
        <w:rPr>
          <w:rFonts w:ascii="Times New Roman" w:eastAsia="Times New Roman" w:hAnsi="Times New Roman"/>
          <w:sz w:val="24"/>
          <w:szCs w:val="24"/>
          <w:lang w:eastAsia="ar-SA"/>
        </w:rPr>
        <w:t>20-10-2014 RTJ VOL-00230-01 PP-00009)</w:t>
      </w:r>
      <w:r w:rsidR="00B07345">
        <w:rPr>
          <w:rFonts w:ascii="Times New Roman" w:eastAsia="Times New Roman" w:hAnsi="Times New Roman"/>
          <w:sz w:val="24"/>
          <w:szCs w:val="24"/>
          <w:lang w:eastAsia="ar-SA"/>
        </w:rPr>
        <w:t>;</w:t>
      </w:r>
      <w:r w:rsidRPr="00A20C05">
        <w:rPr>
          <w:rFonts w:ascii="Times New Roman" w:eastAsia="Times New Roman" w:hAnsi="Times New Roman"/>
          <w:sz w:val="24"/>
          <w:szCs w:val="24"/>
          <w:lang w:eastAsia="ar-SA"/>
        </w:rPr>
        <w:fldChar w:fldCharType="begin"/>
      </w:r>
      <w:r w:rsidRPr="00A20C05">
        <w:rPr>
          <w:rFonts w:ascii="Times New Roman" w:eastAsia="Times New Roman" w:hAnsi="Times New Roman"/>
          <w:sz w:val="24"/>
          <w:szCs w:val="24"/>
          <w:lang w:eastAsia="ar-SA"/>
        </w:rPr>
        <w:instrText>HYPERLINK "https://jurisprudencia.stf.jus.br/pages/search/sjur281203/false"</w:instrText>
      </w:r>
      <w:r w:rsidRPr="00A20C05">
        <w:rPr>
          <w:rFonts w:ascii="Times New Roman" w:eastAsia="Times New Roman" w:hAnsi="Times New Roman"/>
          <w:sz w:val="24"/>
          <w:szCs w:val="24"/>
          <w:lang w:eastAsia="ar-SA"/>
        </w:rPr>
      </w:r>
      <w:r w:rsidRPr="00A20C05">
        <w:rPr>
          <w:rFonts w:ascii="Times New Roman" w:eastAsia="Times New Roman" w:hAnsi="Times New Roman"/>
          <w:sz w:val="24"/>
          <w:szCs w:val="24"/>
          <w:lang w:eastAsia="ar-SA"/>
        </w:rPr>
        <w:fldChar w:fldCharType="separate"/>
      </w:r>
    </w:p>
    <w:p w14:paraId="7906C3FC" w14:textId="7AB8E480" w:rsidR="00DE650A" w:rsidRDefault="00A20C05" w:rsidP="00DC318E">
      <w:pPr>
        <w:spacing w:before="240" w:after="240" w:line="360" w:lineRule="auto"/>
        <w:jc w:val="both"/>
        <w:rPr>
          <w:rFonts w:ascii="Times New Roman" w:eastAsia="Times New Roman" w:hAnsi="Times New Roman"/>
          <w:sz w:val="24"/>
          <w:szCs w:val="24"/>
          <w:lang w:eastAsia="ar-SA"/>
        </w:rPr>
      </w:pPr>
      <w:r w:rsidRPr="00A20C05">
        <w:rPr>
          <w:rFonts w:ascii="Times New Roman" w:eastAsia="Times New Roman" w:hAnsi="Times New Roman"/>
          <w:sz w:val="24"/>
          <w:szCs w:val="24"/>
          <w:lang w:eastAsia="ar-SA"/>
        </w:rPr>
        <w:fldChar w:fldCharType="end"/>
      </w:r>
      <w:r w:rsidR="00B07345" w:rsidRPr="00B07345">
        <w:rPr>
          <w:rFonts w:ascii="Times New Roman" w:eastAsia="Times New Roman" w:hAnsi="Times New Roman"/>
          <w:b/>
          <w:bCs/>
          <w:sz w:val="24"/>
          <w:szCs w:val="24"/>
          <w:lang w:eastAsia="ar-SA"/>
        </w:rPr>
        <w:t>CONSIDERANDO</w:t>
      </w:r>
      <w:r w:rsidR="00B07345" w:rsidRPr="00B07345">
        <w:rPr>
          <w:rFonts w:ascii="Times New Roman" w:eastAsia="Times New Roman" w:hAnsi="Times New Roman"/>
          <w:sz w:val="24"/>
          <w:szCs w:val="24"/>
          <w:lang w:eastAsia="ar-SA"/>
        </w:rPr>
        <w:t xml:space="preserve"> que o STF, no julgamento da ADPF 186</w:t>
      </w:r>
      <w:r w:rsidR="00B07345">
        <w:rPr>
          <w:rFonts w:ascii="Times New Roman" w:eastAsia="Times New Roman" w:hAnsi="Times New Roman"/>
          <w:sz w:val="24"/>
          <w:szCs w:val="24"/>
          <w:lang w:eastAsia="ar-SA"/>
        </w:rPr>
        <w:t>, consignou ainda: “</w:t>
      </w:r>
      <w:r w:rsidRPr="00A20C05">
        <w:rPr>
          <w:rFonts w:ascii="Times New Roman" w:eastAsia="Times New Roman" w:hAnsi="Times New Roman"/>
          <w:sz w:val="24"/>
          <w:szCs w:val="24"/>
          <w:lang w:eastAsia="ar-SA"/>
        </w:rPr>
        <w:t xml:space="preserve">Ementa: ARGUIÇÃO DE DESCUMPRIMENTO DE PRECEITO FUNDAMENTAL. ATOS QUE INSTITUÍRAM SISTEMA DE RESERVA DE VAGAS COM BASE EM CRITÉRIO ÉTNICO-RACIAL (COTAS) NO PROCESSO DE SELEÇÃO PARA INGRESSO EM INSTITUIÇÃO PÚBLICA DE ENSINO SUPERIOR. ALEGADA OFENSA AOS ARTS. 1º, CAPUT, III, 3º, IV, 4º, VIII, 5º, I, II XXXIII, XLI, LIV, 37, </w:t>
      </w:r>
      <w:r w:rsidRPr="00A20C05">
        <w:rPr>
          <w:rFonts w:ascii="Times New Roman" w:eastAsia="Times New Roman" w:hAnsi="Times New Roman"/>
          <w:sz w:val="24"/>
          <w:szCs w:val="24"/>
          <w:lang w:eastAsia="ar-SA"/>
        </w:rPr>
        <w:lastRenderedPageBreak/>
        <w:t xml:space="preserve">CAPUT, 205, 206, CAPUT, I, 207, CAPUT, E 208, V, TODOS DA CONSTITUIÇÃO FEDERAL. AÇÃO JULGADA IMPROCEDENTE. I – </w:t>
      </w:r>
      <w:r w:rsidRPr="000240AE">
        <w:rPr>
          <w:rFonts w:ascii="Times New Roman" w:eastAsia="Times New Roman" w:hAnsi="Times New Roman"/>
          <w:sz w:val="24"/>
          <w:szCs w:val="24"/>
          <w:lang w:eastAsia="ar-SA"/>
        </w:rPr>
        <w:t>Não contraria - ao contrário, prestigia – o princípio da igualdade material, previsto no caput do art. 5º da Carta da República, a possibilidade de o Estado lançar mão seja de políticas de cunho universalista, que abrangem um número indeterminados de indivíduos, mediante ações de natureza estrutural, seja de ações afirmativas, que atingem grupos sociais determinados, de maneira pontual, atribuindo a estes certas vantagens, por um tempo limitado, de modo a permitir-lhes a superação de desigualdades decorrentes de situações históricas particulares. II – O modelo constitucional brasileiro incorporou diversos mecanismos institucionais para corrigir as distorções resultantes de uma aplicação puramente formal do princípio da igualdade. III – Esta Corte, em diversos precedentes, assentou a constitucionalidade das políticas de ação afirmativa. IV – Medidas que buscam reverter, no âmbito universitário, o quadro histórico de desigualdade que caracteriza as relações étnico-raciais e sociais em nosso País, não podem ser examinadas apenas sob a ótica de sua compatibilidade com determinados preceitos constitucionais, isoladamente considerados, ou a partir da eventual vantagem de certos critérios sobre outros, devendo, ao revés, ser analisadas à luz do arcabouço principiológico sobre o qual se assenta o próprio Estado brasileiro. V - Metodologia</w:t>
      </w:r>
      <w:r w:rsidRPr="00A20C05">
        <w:rPr>
          <w:rFonts w:ascii="Times New Roman" w:eastAsia="Times New Roman" w:hAnsi="Times New Roman"/>
          <w:sz w:val="24"/>
          <w:szCs w:val="24"/>
          <w:lang w:eastAsia="ar-SA"/>
        </w:rPr>
        <w:t xml:space="preserve"> de seleção diferenciada pode perfeitamente levar em consideração critérios étnico-raciais ou socioeconômicos, de modo a assegurar que a comunidade acadêmica e a própria sociedade sejam beneficiadas pelo pluralismo de ideias, de resto, um dos fundamentos do Estado brasileiro, conforme dispõe o art. 1º, V, da Constituição. VI - Justiça social, hoje, mais do que simplesmente redistribuir riquezas criadas pelo esforço coletivo, significa distinguir, reconhecer e incorporar à sociedade mais ampla valores culturais diversificados, muitas vezes considerados inferiores àqueles reputados dominantes. VII – No entanto, </w:t>
      </w:r>
      <w:r w:rsidR="005D7670" w:rsidRPr="00A20C05">
        <w:rPr>
          <w:rFonts w:ascii="Times New Roman" w:eastAsia="Times New Roman" w:hAnsi="Times New Roman"/>
          <w:sz w:val="24"/>
          <w:szCs w:val="24"/>
          <w:lang w:eastAsia="ar-SA"/>
        </w:rPr>
        <w:t>as políticas de ação afirmativa fundadas na discriminação reversa</w:t>
      </w:r>
      <w:r w:rsidRPr="00A20C05">
        <w:rPr>
          <w:rFonts w:ascii="Times New Roman" w:eastAsia="Times New Roman" w:hAnsi="Times New Roman"/>
          <w:sz w:val="24"/>
          <w:szCs w:val="24"/>
          <w:lang w:eastAsia="ar-SA"/>
        </w:rPr>
        <w:t xml:space="preserve"> apenas são legítimas se a sua manutenção estiver condicionada à persistência, no tempo, do quadro de exclusão social que lhes deu origem. Caso contrário, tais políticas poderiam converter-se benesses permanentes, instituídas em prol de determinado grupo social, mas em detrimento da coletividade como um todo, situação – é escusado dizer – incompatível com o espírito de qualquer Constituição que se pretenda democrática, devendo, outrossim, respeitar a proporcionalidade entre os </w:t>
      </w:r>
      <w:r w:rsidRPr="00A20C05">
        <w:rPr>
          <w:rFonts w:ascii="Times New Roman" w:eastAsia="Times New Roman" w:hAnsi="Times New Roman"/>
          <w:sz w:val="24"/>
          <w:szCs w:val="24"/>
          <w:lang w:eastAsia="ar-SA"/>
        </w:rPr>
        <w:lastRenderedPageBreak/>
        <w:t>meios empregados e os fins perseguidos. VIII – Arguição de descumprimento de preceito fundamental julgada improcedente.</w:t>
      </w:r>
      <w:r w:rsidR="00B07345">
        <w:rPr>
          <w:rFonts w:ascii="Times New Roman" w:eastAsia="Times New Roman" w:hAnsi="Times New Roman"/>
          <w:sz w:val="24"/>
          <w:szCs w:val="24"/>
          <w:lang w:eastAsia="ar-SA"/>
        </w:rPr>
        <w:t xml:space="preserve"> </w:t>
      </w:r>
      <w:r w:rsidR="00B07345" w:rsidRPr="00A20C05">
        <w:rPr>
          <w:rFonts w:ascii="Times New Roman" w:eastAsia="Times New Roman" w:hAnsi="Times New Roman"/>
          <w:sz w:val="24"/>
          <w:szCs w:val="24"/>
          <w:lang w:eastAsia="ar-SA"/>
        </w:rPr>
        <w:t>(ADPF 186, Relator: Ricardo Lewandowski, Tribunal Pleno, julgado 26-04-2012, Acórdão Eletrônico DJe-</w:t>
      </w:r>
      <w:r w:rsidR="00247505" w:rsidRPr="00A20C05">
        <w:rPr>
          <w:rFonts w:ascii="Times New Roman" w:eastAsia="Times New Roman" w:hAnsi="Times New Roman"/>
          <w:sz w:val="24"/>
          <w:szCs w:val="24"/>
          <w:lang w:eastAsia="ar-SA"/>
        </w:rPr>
        <w:t>205 DIVULG</w:t>
      </w:r>
      <w:r w:rsidR="00B07345" w:rsidRPr="00A20C05">
        <w:rPr>
          <w:rFonts w:ascii="Times New Roman" w:eastAsia="Times New Roman" w:hAnsi="Times New Roman"/>
          <w:sz w:val="24"/>
          <w:szCs w:val="24"/>
          <w:lang w:eastAsia="ar-SA"/>
        </w:rPr>
        <w:t xml:space="preserve"> 17-10-</w:t>
      </w:r>
      <w:r w:rsidR="00247505" w:rsidRPr="00A20C05">
        <w:rPr>
          <w:rFonts w:ascii="Times New Roman" w:eastAsia="Times New Roman" w:hAnsi="Times New Roman"/>
          <w:sz w:val="24"/>
          <w:szCs w:val="24"/>
          <w:lang w:eastAsia="ar-SA"/>
        </w:rPr>
        <w:t>2014 PUBLIC</w:t>
      </w:r>
      <w:r w:rsidR="00B07345" w:rsidRPr="00A20C05">
        <w:rPr>
          <w:rFonts w:ascii="Times New Roman" w:eastAsia="Times New Roman" w:hAnsi="Times New Roman"/>
          <w:sz w:val="24"/>
          <w:szCs w:val="24"/>
          <w:lang w:eastAsia="ar-SA"/>
        </w:rPr>
        <w:t xml:space="preserve"> 20-10-2014 RTJ VOL-00230-01 PP-00009)</w:t>
      </w:r>
      <w:r w:rsidR="00B07345">
        <w:rPr>
          <w:rFonts w:ascii="Times New Roman" w:eastAsia="Times New Roman" w:hAnsi="Times New Roman"/>
          <w:sz w:val="24"/>
          <w:szCs w:val="24"/>
          <w:lang w:eastAsia="ar-SA"/>
        </w:rPr>
        <w:t>;</w:t>
      </w:r>
    </w:p>
    <w:p w14:paraId="54BB437F" w14:textId="7B4FA1EF" w:rsidR="00011FE6" w:rsidRPr="00A20C05" w:rsidRDefault="00011FE6" w:rsidP="00DC318E">
      <w:pPr>
        <w:spacing w:before="240" w:after="240" w:line="360" w:lineRule="auto"/>
        <w:jc w:val="both"/>
        <w:rPr>
          <w:rFonts w:ascii="Times New Roman" w:eastAsia="Times New Roman" w:hAnsi="Times New Roman"/>
          <w:sz w:val="24"/>
          <w:szCs w:val="24"/>
          <w:lang w:eastAsia="ar-SA"/>
        </w:rPr>
      </w:pPr>
      <w:r>
        <w:rPr>
          <w:rFonts w:ascii="Times New Roman" w:eastAsia="Times New Roman" w:hAnsi="Times New Roman"/>
          <w:b/>
          <w:bCs/>
          <w:sz w:val="24"/>
          <w:szCs w:val="24"/>
          <w:lang w:eastAsia="ar-SA"/>
        </w:rPr>
        <w:t xml:space="preserve">CONSIDERANDO </w:t>
      </w:r>
      <w:r>
        <w:rPr>
          <w:rFonts w:ascii="Times New Roman" w:eastAsia="Times New Roman" w:hAnsi="Times New Roman"/>
          <w:sz w:val="24"/>
          <w:szCs w:val="24"/>
          <w:lang w:eastAsia="ar-SA"/>
        </w:rPr>
        <w:t>que – em que pese o denso quadro normativo</w:t>
      </w:r>
      <w:r w:rsidR="000240AE">
        <w:rPr>
          <w:rFonts w:ascii="Times New Roman" w:eastAsia="Times New Roman" w:hAnsi="Times New Roman"/>
          <w:sz w:val="24"/>
          <w:szCs w:val="24"/>
          <w:lang w:eastAsia="ar-SA"/>
        </w:rPr>
        <w:t xml:space="preserve"> e jurisprudencial</w:t>
      </w:r>
      <w:r>
        <w:rPr>
          <w:rFonts w:ascii="Times New Roman" w:eastAsia="Times New Roman" w:hAnsi="Times New Roman"/>
          <w:sz w:val="24"/>
          <w:szCs w:val="24"/>
          <w:lang w:eastAsia="ar-SA"/>
        </w:rPr>
        <w:t xml:space="preserve"> delineado – o </w:t>
      </w:r>
      <w:r w:rsidR="005D7670" w:rsidRPr="000240AE">
        <w:rPr>
          <w:rFonts w:ascii="Times New Roman" w:eastAsia="Times New Roman" w:hAnsi="Times New Roman"/>
          <w:color w:val="EE0000"/>
          <w:sz w:val="24"/>
          <w:szCs w:val="24"/>
          <w:lang w:eastAsia="ar-SA"/>
        </w:rPr>
        <w:t>Município de XXX</w:t>
      </w:r>
      <w:r w:rsidR="000240AE">
        <w:rPr>
          <w:rFonts w:ascii="Times New Roman" w:eastAsia="Times New Roman" w:hAnsi="Times New Roman"/>
          <w:color w:val="EE0000"/>
          <w:sz w:val="24"/>
          <w:szCs w:val="24"/>
          <w:lang w:eastAsia="ar-SA"/>
        </w:rPr>
        <w:t>X</w:t>
      </w:r>
      <w:r w:rsidRPr="000240AE">
        <w:rPr>
          <w:rFonts w:ascii="Times New Roman" w:eastAsia="Times New Roman" w:hAnsi="Times New Roman"/>
          <w:color w:val="EE0000"/>
          <w:sz w:val="24"/>
          <w:szCs w:val="24"/>
          <w:lang w:eastAsia="ar-SA"/>
        </w:rPr>
        <w:t xml:space="preserve"> </w:t>
      </w:r>
      <w:r>
        <w:rPr>
          <w:rFonts w:ascii="Times New Roman" w:eastAsia="Times New Roman" w:hAnsi="Times New Roman"/>
          <w:sz w:val="24"/>
          <w:szCs w:val="24"/>
          <w:lang w:eastAsia="ar-SA"/>
        </w:rPr>
        <w:t>segue</w:t>
      </w:r>
      <w:r w:rsidR="005D7670">
        <w:rPr>
          <w:rFonts w:ascii="Times New Roman" w:eastAsia="Times New Roman" w:hAnsi="Times New Roman"/>
          <w:sz w:val="24"/>
          <w:szCs w:val="24"/>
          <w:lang w:eastAsia="ar-SA"/>
        </w:rPr>
        <w:t xml:space="preserve"> aparentemente</w:t>
      </w:r>
      <w:r>
        <w:rPr>
          <w:rFonts w:ascii="Times New Roman" w:eastAsia="Times New Roman" w:hAnsi="Times New Roman"/>
          <w:sz w:val="24"/>
          <w:szCs w:val="24"/>
          <w:lang w:eastAsia="ar-SA"/>
        </w:rPr>
        <w:t xml:space="preserve"> se esquivando das pretensões de implementação de reserva de vagas</w:t>
      </w:r>
      <w:r w:rsidR="002E6D85">
        <w:rPr>
          <w:rFonts w:ascii="Times New Roman" w:eastAsia="Times New Roman" w:hAnsi="Times New Roman"/>
          <w:sz w:val="24"/>
          <w:szCs w:val="24"/>
          <w:lang w:eastAsia="ar-SA"/>
        </w:rPr>
        <w:t xml:space="preserve"> sob o argumento de que </w:t>
      </w:r>
      <w:r w:rsidR="00841F3E">
        <w:rPr>
          <w:rFonts w:ascii="Times New Roman" w:eastAsia="Times New Roman" w:hAnsi="Times New Roman"/>
          <w:sz w:val="24"/>
          <w:szCs w:val="24"/>
          <w:lang w:eastAsia="ar-SA"/>
        </w:rPr>
        <w:t xml:space="preserve">não haveria legislação no âmbito </w:t>
      </w:r>
      <w:r w:rsidR="000240AE">
        <w:rPr>
          <w:rFonts w:ascii="Times New Roman" w:eastAsia="Times New Roman" w:hAnsi="Times New Roman"/>
          <w:sz w:val="24"/>
          <w:szCs w:val="24"/>
          <w:lang w:eastAsia="ar-SA"/>
        </w:rPr>
        <w:t>local</w:t>
      </w:r>
      <w:r w:rsidR="00841F3E">
        <w:rPr>
          <w:rFonts w:ascii="Times New Roman" w:eastAsia="Times New Roman" w:hAnsi="Times New Roman"/>
          <w:sz w:val="24"/>
          <w:szCs w:val="24"/>
          <w:lang w:eastAsia="ar-SA"/>
        </w:rPr>
        <w:t xml:space="preserve"> que determinasse a reserva de </w:t>
      </w:r>
      <w:r w:rsidR="004049EC">
        <w:rPr>
          <w:rFonts w:ascii="Times New Roman" w:eastAsia="Times New Roman" w:hAnsi="Times New Roman"/>
          <w:sz w:val="24"/>
          <w:szCs w:val="24"/>
          <w:lang w:eastAsia="ar-SA"/>
        </w:rPr>
        <w:t>vagas;</w:t>
      </w:r>
    </w:p>
    <w:p w14:paraId="3DF45BC1" w14:textId="40DCE20E" w:rsidR="007C526B" w:rsidRDefault="00BE4420" w:rsidP="00DC318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CONSIDERANDO</w:t>
      </w:r>
      <w:r>
        <w:rPr>
          <w:rFonts w:ascii="Times New Roman" w:eastAsia="Times New Roman" w:hAnsi="Times New Roman" w:cs="Times New Roman"/>
          <w:sz w:val="24"/>
          <w:szCs w:val="24"/>
        </w:rPr>
        <w:t xml:space="preserve"> que a Defensoria Pública possui, como funções institucionais, o dever de promover, prioritariamente, a solução extrajudicial dos litígios, visando à composição entre as pessoas em conflito de interesses;</w:t>
      </w:r>
      <w:r w:rsidR="00BB0628">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promover a difusão e a conscientização dos direitos humanos, da cidadania e do ordenamento jurídico; </w:t>
      </w:r>
      <w:r w:rsidR="00A20C05" w:rsidRPr="00A20C05">
        <w:rPr>
          <w:rFonts w:ascii="Times New Roman" w:eastAsia="Times New Roman" w:hAnsi="Times New Roman" w:cs="Times New Roman"/>
          <w:color w:val="000000"/>
          <w:sz w:val="24"/>
          <w:szCs w:val="24"/>
        </w:rPr>
        <w:t>exercer a defesa dos interesses individuais e coletivos de grupos sociais vulneráveis que mereçam proteção especial do Estado</w:t>
      </w:r>
      <w:r w:rsidR="00A20C0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tudo visando a assegurar às pessoas, sob </w:t>
      </w:r>
      <w:r>
        <w:rPr>
          <w:rFonts w:ascii="Times New Roman" w:eastAsia="Times New Roman" w:hAnsi="Times New Roman" w:cs="Times New Roman"/>
          <w:sz w:val="24"/>
          <w:szCs w:val="24"/>
        </w:rPr>
        <w:t xml:space="preserve">quaisquer circunstâncias, o exercício pleno de seus direitos e garantias fundamentais, conforme art. 4º, </w:t>
      </w:r>
      <w:r w:rsidR="00455684">
        <w:rPr>
          <w:rFonts w:ascii="Times New Roman" w:eastAsia="Times New Roman" w:hAnsi="Times New Roman" w:cs="Times New Roman"/>
          <w:sz w:val="24"/>
          <w:szCs w:val="24"/>
        </w:rPr>
        <w:t xml:space="preserve">incisos </w:t>
      </w:r>
      <w:r>
        <w:rPr>
          <w:rFonts w:ascii="Times New Roman" w:eastAsia="Times New Roman" w:hAnsi="Times New Roman" w:cs="Times New Roman"/>
          <w:sz w:val="24"/>
          <w:szCs w:val="24"/>
        </w:rPr>
        <w:t>II, III, VII, VIII, X</w:t>
      </w:r>
      <w:r w:rsidR="00A20C05">
        <w:rPr>
          <w:rFonts w:ascii="Times New Roman" w:eastAsia="Times New Roman" w:hAnsi="Times New Roman" w:cs="Times New Roman"/>
          <w:sz w:val="24"/>
          <w:szCs w:val="24"/>
        </w:rPr>
        <w:t xml:space="preserve"> e XI,</w:t>
      </w:r>
      <w:r>
        <w:rPr>
          <w:rFonts w:ascii="Times New Roman" w:eastAsia="Times New Roman" w:hAnsi="Times New Roman" w:cs="Times New Roman"/>
          <w:sz w:val="24"/>
          <w:szCs w:val="24"/>
        </w:rPr>
        <w:t xml:space="preserve"> da Lei Complementar Federal nº 80/94;</w:t>
      </w:r>
    </w:p>
    <w:p w14:paraId="3DF45BC2" w14:textId="21551BCC" w:rsidR="00B86D9F" w:rsidRDefault="00BE4420" w:rsidP="00DC318E">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RESOLVE</w:t>
      </w:r>
      <w:r>
        <w:rPr>
          <w:rFonts w:ascii="Times New Roman" w:eastAsia="Times New Roman" w:hAnsi="Times New Roman" w:cs="Times New Roman"/>
          <w:sz w:val="24"/>
          <w:szCs w:val="24"/>
        </w:rPr>
        <w:t xml:space="preserve"> instaurar de ofício o presente Procedimento Administrativo de Tutela Coletiva (PTAC)</w:t>
      </w:r>
      <w:r w:rsidR="0023592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66552C">
        <w:rPr>
          <w:rFonts w:ascii="Times New Roman" w:eastAsia="Times New Roman" w:hAnsi="Times New Roman" w:cs="Times New Roman"/>
          <w:sz w:val="24"/>
          <w:szCs w:val="24"/>
        </w:rPr>
        <w:t xml:space="preserve">a </w:t>
      </w:r>
      <w:r w:rsidR="004D2BFC">
        <w:rPr>
          <w:rFonts w:ascii="Times New Roman" w:eastAsia="Times New Roman" w:hAnsi="Times New Roman" w:cs="Times New Roman"/>
          <w:sz w:val="24"/>
          <w:szCs w:val="24"/>
        </w:rPr>
        <w:t>fim de adotar as medidas cabíveis para garantir a oferta de reserva de vagas a candidatos autodeclarados pretos e pardos</w:t>
      </w:r>
      <w:r w:rsidR="003904C7">
        <w:rPr>
          <w:rFonts w:ascii="Times New Roman" w:eastAsia="Times New Roman" w:hAnsi="Times New Roman" w:cs="Times New Roman"/>
          <w:sz w:val="24"/>
          <w:szCs w:val="24"/>
        </w:rPr>
        <w:t>, indígenas e quilombolas</w:t>
      </w:r>
      <w:r w:rsidR="004D2BFC">
        <w:rPr>
          <w:rFonts w:ascii="Times New Roman" w:eastAsia="Times New Roman" w:hAnsi="Times New Roman" w:cs="Times New Roman"/>
          <w:sz w:val="24"/>
          <w:szCs w:val="24"/>
        </w:rPr>
        <w:t xml:space="preserve"> nos certames e seleções promovidos </w:t>
      </w:r>
      <w:r w:rsidR="00FF2C86">
        <w:rPr>
          <w:rFonts w:ascii="Times New Roman" w:eastAsia="Times New Roman" w:hAnsi="Times New Roman" w:cs="Times New Roman"/>
          <w:sz w:val="24"/>
          <w:szCs w:val="24"/>
        </w:rPr>
        <w:t>pel</w:t>
      </w:r>
      <w:r w:rsidR="00A02876">
        <w:rPr>
          <w:rFonts w:ascii="Times New Roman" w:eastAsia="Times New Roman" w:hAnsi="Times New Roman" w:cs="Times New Roman"/>
          <w:sz w:val="24"/>
          <w:szCs w:val="24"/>
        </w:rPr>
        <w:t xml:space="preserve">a Administração Direta e Indireta </w:t>
      </w:r>
      <w:r w:rsidR="00FF2C86">
        <w:rPr>
          <w:rFonts w:ascii="Times New Roman" w:eastAsia="Times New Roman" w:hAnsi="Times New Roman" w:cs="Times New Roman"/>
          <w:sz w:val="24"/>
          <w:szCs w:val="24"/>
        </w:rPr>
        <w:t xml:space="preserve">do </w:t>
      </w:r>
      <w:r w:rsidR="00FE3055" w:rsidRPr="003904C7">
        <w:rPr>
          <w:rFonts w:ascii="Times New Roman" w:eastAsia="Times New Roman" w:hAnsi="Times New Roman" w:cs="Times New Roman"/>
          <w:color w:val="EE0000"/>
          <w:sz w:val="24"/>
          <w:szCs w:val="24"/>
        </w:rPr>
        <w:t>Município de XXX</w:t>
      </w:r>
      <w:r w:rsidR="003904C7">
        <w:rPr>
          <w:rFonts w:ascii="Times New Roman" w:eastAsia="Times New Roman" w:hAnsi="Times New Roman" w:cs="Times New Roman"/>
          <w:color w:val="EE0000"/>
          <w:sz w:val="24"/>
          <w:szCs w:val="24"/>
        </w:rPr>
        <w:t>X</w:t>
      </w:r>
      <w:r w:rsidR="004D2BFC">
        <w:rPr>
          <w:rFonts w:ascii="Times New Roman" w:eastAsia="Times New Roman" w:hAnsi="Times New Roman" w:cs="Times New Roman"/>
          <w:sz w:val="24"/>
          <w:szCs w:val="24"/>
        </w:rPr>
        <w:t>.</w:t>
      </w:r>
    </w:p>
    <w:p w14:paraId="47C2DBC2" w14:textId="75EEFB31" w:rsidR="00B5121A" w:rsidRDefault="00BE4420" w:rsidP="0092498A">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 tanto, determina-se a adoção das seguintes diligências:</w:t>
      </w:r>
    </w:p>
    <w:p w14:paraId="176D7F54" w14:textId="74477D0D" w:rsidR="00240F87" w:rsidRPr="0092498A" w:rsidRDefault="0092498A" w:rsidP="0092498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240F87" w:rsidRPr="0092498A">
        <w:rPr>
          <w:rFonts w:ascii="Times New Roman" w:eastAsia="Times New Roman" w:hAnsi="Times New Roman" w:cs="Times New Roman"/>
          <w:color w:val="000000"/>
          <w:sz w:val="24"/>
          <w:szCs w:val="24"/>
        </w:rPr>
        <w:t>A juntada dos documentos produzidos e consultados</w:t>
      </w:r>
      <w:r w:rsidR="00A765EB" w:rsidRPr="0092498A">
        <w:rPr>
          <w:rFonts w:ascii="Times New Roman" w:eastAsia="Times New Roman" w:hAnsi="Times New Roman" w:cs="Times New Roman"/>
          <w:color w:val="000000"/>
          <w:sz w:val="24"/>
          <w:szCs w:val="24"/>
        </w:rPr>
        <w:t xml:space="preserve"> sobre a temática</w:t>
      </w:r>
      <w:r w:rsidR="001A4457">
        <w:rPr>
          <w:rFonts w:ascii="Times New Roman" w:eastAsia="Times New Roman" w:hAnsi="Times New Roman" w:cs="Times New Roman"/>
          <w:color w:val="000000"/>
          <w:sz w:val="24"/>
          <w:szCs w:val="24"/>
        </w:rPr>
        <w:t>, bem como os modelos de documentos produzidos pela CETUC/DPMG no âmbito do Projeto CAExinha de Ferramentas;</w:t>
      </w:r>
    </w:p>
    <w:p w14:paraId="7C253B1F" w14:textId="605575F2" w:rsidR="005D7670" w:rsidRDefault="0092498A" w:rsidP="0092498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sidR="005D7670">
        <w:rPr>
          <w:rFonts w:ascii="Times New Roman" w:eastAsia="Times New Roman" w:hAnsi="Times New Roman" w:cs="Times New Roman"/>
          <w:color w:val="000000"/>
          <w:sz w:val="24"/>
          <w:szCs w:val="24"/>
        </w:rPr>
        <w:t xml:space="preserve"> A expedição de Ofício de </w:t>
      </w:r>
      <w:r w:rsidR="001A4457">
        <w:rPr>
          <w:rFonts w:ascii="Times New Roman" w:eastAsia="Times New Roman" w:hAnsi="Times New Roman" w:cs="Times New Roman"/>
          <w:color w:val="000000"/>
          <w:sz w:val="24"/>
          <w:szCs w:val="24"/>
        </w:rPr>
        <w:t>R</w:t>
      </w:r>
      <w:r w:rsidR="005D7670">
        <w:rPr>
          <w:rFonts w:ascii="Times New Roman" w:eastAsia="Times New Roman" w:hAnsi="Times New Roman" w:cs="Times New Roman"/>
          <w:color w:val="000000"/>
          <w:sz w:val="24"/>
          <w:szCs w:val="24"/>
        </w:rPr>
        <w:t>equisição</w:t>
      </w:r>
      <w:r w:rsidR="00BE7023">
        <w:rPr>
          <w:rFonts w:ascii="Times New Roman" w:eastAsia="Times New Roman" w:hAnsi="Times New Roman" w:cs="Times New Roman"/>
          <w:color w:val="000000"/>
          <w:sz w:val="24"/>
          <w:szCs w:val="24"/>
        </w:rPr>
        <w:t xml:space="preserve"> inquirindo sobre</w:t>
      </w:r>
      <w:r w:rsidR="003904C7">
        <w:rPr>
          <w:rFonts w:ascii="Times New Roman" w:eastAsia="Times New Roman" w:hAnsi="Times New Roman" w:cs="Times New Roman"/>
          <w:color w:val="000000"/>
          <w:sz w:val="24"/>
          <w:szCs w:val="24"/>
        </w:rPr>
        <w:t>:</w:t>
      </w:r>
      <w:r w:rsidR="00BE7023">
        <w:rPr>
          <w:rFonts w:ascii="Times New Roman" w:eastAsia="Times New Roman" w:hAnsi="Times New Roman" w:cs="Times New Roman"/>
          <w:color w:val="000000"/>
          <w:sz w:val="24"/>
          <w:szCs w:val="24"/>
        </w:rPr>
        <w:t xml:space="preserve"> a adesão do </w:t>
      </w:r>
      <w:r w:rsidR="00BE7023" w:rsidRPr="003904C7">
        <w:rPr>
          <w:rFonts w:ascii="Times New Roman" w:eastAsia="Times New Roman" w:hAnsi="Times New Roman" w:cs="Times New Roman"/>
          <w:color w:val="EE0000"/>
          <w:sz w:val="24"/>
          <w:szCs w:val="24"/>
        </w:rPr>
        <w:t>Município de XXX</w:t>
      </w:r>
      <w:r w:rsidR="003904C7">
        <w:rPr>
          <w:rFonts w:ascii="Times New Roman" w:eastAsia="Times New Roman" w:hAnsi="Times New Roman" w:cs="Times New Roman"/>
          <w:color w:val="EE0000"/>
          <w:sz w:val="24"/>
          <w:szCs w:val="24"/>
        </w:rPr>
        <w:t>X</w:t>
      </w:r>
      <w:r w:rsidR="00BE7023" w:rsidRPr="003904C7">
        <w:rPr>
          <w:rFonts w:ascii="Times New Roman" w:eastAsia="Times New Roman" w:hAnsi="Times New Roman" w:cs="Times New Roman"/>
          <w:color w:val="EE0000"/>
          <w:sz w:val="24"/>
          <w:szCs w:val="24"/>
        </w:rPr>
        <w:t xml:space="preserve"> </w:t>
      </w:r>
      <w:r w:rsidR="00BE7023">
        <w:rPr>
          <w:rFonts w:ascii="Times New Roman" w:eastAsia="Times New Roman" w:hAnsi="Times New Roman" w:cs="Times New Roman"/>
          <w:color w:val="000000"/>
          <w:sz w:val="24"/>
          <w:szCs w:val="24"/>
        </w:rPr>
        <w:t>ao SINAPIR</w:t>
      </w:r>
      <w:r w:rsidR="003904C7">
        <w:rPr>
          <w:rFonts w:ascii="Times New Roman" w:eastAsia="Times New Roman" w:hAnsi="Times New Roman" w:cs="Times New Roman"/>
          <w:color w:val="000000"/>
          <w:sz w:val="24"/>
          <w:szCs w:val="24"/>
        </w:rPr>
        <w:t xml:space="preserve">; </w:t>
      </w:r>
      <w:r w:rsidR="00BE7023">
        <w:rPr>
          <w:rFonts w:ascii="Times New Roman" w:eastAsia="Times New Roman" w:hAnsi="Times New Roman" w:cs="Times New Roman"/>
          <w:color w:val="000000"/>
          <w:sz w:val="24"/>
          <w:szCs w:val="24"/>
        </w:rPr>
        <w:t xml:space="preserve">a existência de Lei Municipal ou outro instrumento </w:t>
      </w:r>
      <w:r w:rsidR="003904C7">
        <w:rPr>
          <w:rFonts w:ascii="Times New Roman" w:eastAsia="Times New Roman" w:hAnsi="Times New Roman" w:cs="Times New Roman"/>
          <w:color w:val="000000"/>
          <w:sz w:val="24"/>
          <w:szCs w:val="24"/>
        </w:rPr>
        <w:t xml:space="preserve">normativo </w:t>
      </w:r>
      <w:r w:rsidR="00BE7023">
        <w:rPr>
          <w:rFonts w:ascii="Times New Roman" w:eastAsia="Times New Roman" w:hAnsi="Times New Roman" w:cs="Times New Roman"/>
          <w:color w:val="000000"/>
          <w:sz w:val="24"/>
          <w:szCs w:val="24"/>
        </w:rPr>
        <w:t xml:space="preserve">que preveja a instituição de cotas raciais nas contratações realizadas pelo </w:t>
      </w:r>
      <w:r w:rsidR="003904C7">
        <w:rPr>
          <w:rFonts w:ascii="Times New Roman" w:eastAsia="Times New Roman" w:hAnsi="Times New Roman" w:cs="Times New Roman"/>
          <w:color w:val="000000"/>
          <w:sz w:val="24"/>
          <w:szCs w:val="24"/>
        </w:rPr>
        <w:t>ente federativo</w:t>
      </w:r>
      <w:r w:rsidR="00BE7023">
        <w:rPr>
          <w:rFonts w:ascii="Times New Roman" w:eastAsia="Times New Roman" w:hAnsi="Times New Roman" w:cs="Times New Roman"/>
          <w:color w:val="000000"/>
          <w:sz w:val="24"/>
          <w:szCs w:val="24"/>
        </w:rPr>
        <w:t xml:space="preserve">; a </w:t>
      </w:r>
      <w:r w:rsidR="00BE7023">
        <w:rPr>
          <w:rFonts w:ascii="Times New Roman" w:eastAsia="Times New Roman" w:hAnsi="Times New Roman" w:cs="Times New Roman"/>
          <w:color w:val="000000"/>
          <w:sz w:val="24"/>
          <w:szCs w:val="24"/>
        </w:rPr>
        <w:lastRenderedPageBreak/>
        <w:t xml:space="preserve">existência de Projeto de Lei </w:t>
      </w:r>
      <w:r w:rsidR="00E42D85">
        <w:rPr>
          <w:rFonts w:ascii="Times New Roman" w:eastAsia="Times New Roman" w:hAnsi="Times New Roman" w:cs="Times New Roman"/>
          <w:color w:val="000000"/>
          <w:sz w:val="24"/>
          <w:szCs w:val="24"/>
        </w:rPr>
        <w:t xml:space="preserve">em trâmite </w:t>
      </w:r>
      <w:r w:rsidR="00BE7023">
        <w:rPr>
          <w:rFonts w:ascii="Times New Roman" w:eastAsia="Times New Roman" w:hAnsi="Times New Roman" w:cs="Times New Roman"/>
          <w:color w:val="000000"/>
          <w:sz w:val="24"/>
          <w:szCs w:val="24"/>
        </w:rPr>
        <w:t>sobre o tema</w:t>
      </w:r>
      <w:r w:rsidR="00E42D85">
        <w:rPr>
          <w:rFonts w:ascii="Times New Roman" w:eastAsia="Times New Roman" w:hAnsi="Times New Roman" w:cs="Times New Roman"/>
          <w:color w:val="000000"/>
          <w:sz w:val="24"/>
          <w:szCs w:val="24"/>
        </w:rPr>
        <w:t>;</w:t>
      </w:r>
      <w:r w:rsidR="00BE7023">
        <w:rPr>
          <w:rFonts w:ascii="Times New Roman" w:eastAsia="Times New Roman" w:hAnsi="Times New Roman" w:cs="Times New Roman"/>
          <w:color w:val="000000"/>
          <w:sz w:val="24"/>
          <w:szCs w:val="24"/>
        </w:rPr>
        <w:t xml:space="preserve"> e a remessa </w:t>
      </w:r>
      <w:r w:rsidR="001462C2">
        <w:rPr>
          <w:rFonts w:ascii="Times New Roman" w:eastAsia="Times New Roman" w:hAnsi="Times New Roman" w:cs="Times New Roman"/>
          <w:color w:val="000000"/>
          <w:sz w:val="24"/>
          <w:szCs w:val="24"/>
        </w:rPr>
        <w:t>de eventuais diagnósticos feitos no âmbito da municipalidade</w:t>
      </w:r>
      <w:r w:rsidR="00E42D85">
        <w:rPr>
          <w:rFonts w:ascii="Times New Roman" w:eastAsia="Times New Roman" w:hAnsi="Times New Roman" w:cs="Times New Roman"/>
          <w:color w:val="000000"/>
          <w:sz w:val="24"/>
          <w:szCs w:val="24"/>
        </w:rPr>
        <w:t xml:space="preserve"> quanto à representatividade de minorias raciais em seus quadros públicos</w:t>
      </w:r>
      <w:r w:rsidR="001462C2">
        <w:rPr>
          <w:rFonts w:ascii="Times New Roman" w:eastAsia="Times New Roman" w:hAnsi="Times New Roman" w:cs="Times New Roman"/>
          <w:color w:val="000000"/>
          <w:sz w:val="24"/>
          <w:szCs w:val="24"/>
        </w:rPr>
        <w:t>;</w:t>
      </w:r>
    </w:p>
    <w:p w14:paraId="14BA690D" w14:textId="7D5B737F" w:rsidR="001462C2" w:rsidRDefault="001462C2" w:rsidP="0092498A">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A adoção de medidas visando à solução extrajudicial do tema, caso as respostas recebidas da Municipalidade sejam negativas, dentre as quais, destacam-se o agendamento de reuniões e a expedição de Recomendação;</w:t>
      </w:r>
    </w:p>
    <w:p w14:paraId="2D693265" w14:textId="3C4E0FE2" w:rsidR="00B5121A" w:rsidRDefault="001462C2" w:rsidP="001462C2">
      <w:pPr>
        <w:pBdr>
          <w:top w:val="nil"/>
          <w:left w:val="nil"/>
          <w:bottom w:val="nil"/>
          <w:right w:val="nil"/>
          <w:between w:val="nil"/>
        </w:pBd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Frustradas as tentativas de solução extrajudicial, a avaliação da oportunidade e conveniência de lançar mão dos instrumentos judiciais cabíveis, com a impetração de Mandado de Injunção Coletivo visando sanar a omissão regulamentadora</w:t>
      </w:r>
      <w:r w:rsidR="00E42D85">
        <w:rPr>
          <w:rFonts w:ascii="Times New Roman" w:eastAsia="Times New Roman" w:hAnsi="Times New Roman" w:cs="Times New Roman"/>
          <w:color w:val="000000"/>
          <w:sz w:val="24"/>
          <w:szCs w:val="24"/>
        </w:rPr>
        <w:t>, bem como</w:t>
      </w:r>
      <w:r>
        <w:rPr>
          <w:rFonts w:ascii="Times New Roman" w:eastAsia="Times New Roman" w:hAnsi="Times New Roman" w:cs="Times New Roman"/>
          <w:color w:val="000000"/>
          <w:sz w:val="24"/>
          <w:szCs w:val="24"/>
        </w:rPr>
        <w:t xml:space="preserve"> o ajuizamento de Ação Civil Pública, nos casos em que haja concursos previstos sem a reserva de vagas de forma contemporânea à atuação defensorial.</w:t>
      </w:r>
    </w:p>
    <w:p w14:paraId="6542C0CB" w14:textId="241B8FCF" w:rsidR="00DB2324" w:rsidRPr="00735790" w:rsidRDefault="00BE4420" w:rsidP="00DC318E">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Autue-se. Cumpra-se.</w:t>
      </w:r>
      <w:r w:rsidR="00FF2C8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Após, venham os a</w:t>
      </w:r>
      <w:r w:rsidRPr="00735790">
        <w:rPr>
          <w:rFonts w:ascii="Times New Roman" w:eastAsia="Times New Roman" w:hAnsi="Times New Roman" w:cs="Times New Roman"/>
          <w:color w:val="000000"/>
          <w:sz w:val="24"/>
          <w:szCs w:val="24"/>
        </w:rPr>
        <w:t>utos conclusos para análise.</w:t>
      </w:r>
    </w:p>
    <w:p w14:paraId="3DF45BCD" w14:textId="54F60402" w:rsidR="007C526B" w:rsidRDefault="00E42D85" w:rsidP="00DC318E">
      <w:pPr>
        <w:spacing w:before="240" w:after="240" w:line="360" w:lineRule="auto"/>
        <w:jc w:val="both"/>
        <w:rPr>
          <w:rFonts w:ascii="Times New Roman" w:eastAsia="Times New Roman" w:hAnsi="Times New Roman" w:cs="Times New Roman"/>
          <w:sz w:val="24"/>
          <w:szCs w:val="24"/>
        </w:rPr>
      </w:pPr>
      <w:r w:rsidRPr="00E42D85">
        <w:rPr>
          <w:rFonts w:ascii="Times New Roman" w:eastAsia="Times New Roman" w:hAnsi="Times New Roman" w:cs="Times New Roman"/>
          <w:color w:val="EE0000"/>
          <w:sz w:val="24"/>
          <w:szCs w:val="24"/>
        </w:rPr>
        <w:t>Município - MG</w:t>
      </w:r>
      <w:r w:rsidR="00BE4420" w:rsidRPr="00E42D85">
        <w:rPr>
          <w:rFonts w:ascii="Times New Roman" w:eastAsia="Times New Roman" w:hAnsi="Times New Roman" w:cs="Times New Roman"/>
          <w:color w:val="EE0000"/>
          <w:sz w:val="24"/>
          <w:szCs w:val="24"/>
        </w:rPr>
        <w:t xml:space="preserve">, </w:t>
      </w:r>
      <w:r w:rsidRPr="00E42D85">
        <w:rPr>
          <w:rFonts w:ascii="Times New Roman" w:eastAsia="Times New Roman" w:hAnsi="Times New Roman" w:cs="Times New Roman"/>
          <w:color w:val="EE0000"/>
          <w:sz w:val="24"/>
          <w:szCs w:val="24"/>
        </w:rPr>
        <w:t>data</w:t>
      </w:r>
      <w:r>
        <w:rPr>
          <w:rFonts w:ascii="Times New Roman" w:eastAsia="Times New Roman" w:hAnsi="Times New Roman" w:cs="Times New Roman"/>
          <w:color w:val="000000"/>
          <w:sz w:val="24"/>
          <w:szCs w:val="24"/>
        </w:rPr>
        <w:t>.</w:t>
      </w:r>
    </w:p>
    <w:p w14:paraId="2C7E1CF5" w14:textId="77777777" w:rsidR="00DB2324" w:rsidRDefault="00DB2324" w:rsidP="00A875C3">
      <w:pPr>
        <w:spacing w:after="0" w:line="360" w:lineRule="auto"/>
        <w:jc w:val="both"/>
        <w:rPr>
          <w:rFonts w:ascii="Times New Roman" w:eastAsia="Times New Roman" w:hAnsi="Times New Roman" w:cs="Times New Roman"/>
          <w:color w:val="000000"/>
          <w:sz w:val="24"/>
          <w:szCs w:val="24"/>
        </w:rPr>
      </w:pPr>
    </w:p>
    <w:p w14:paraId="3DF45BD1" w14:textId="77777777" w:rsidR="007C526B" w:rsidRDefault="007C526B">
      <w:pPr>
        <w:spacing w:after="0" w:line="360" w:lineRule="auto"/>
        <w:jc w:val="both"/>
        <w:rPr>
          <w:rFonts w:ascii="Times New Roman" w:eastAsia="Times New Roman" w:hAnsi="Times New Roman" w:cs="Times New Roman"/>
          <w:color w:val="000000"/>
          <w:sz w:val="24"/>
          <w:szCs w:val="24"/>
        </w:rPr>
      </w:pPr>
    </w:p>
    <w:p w14:paraId="3DF45BD2" w14:textId="696B2AEC" w:rsidR="00FF7CA5" w:rsidRPr="0059296E" w:rsidRDefault="00E42D85" w:rsidP="00FF7CA5">
      <w:pPr>
        <w:spacing w:after="0" w:line="240" w:lineRule="auto"/>
        <w:jc w:val="center"/>
        <w:rPr>
          <w:rFonts w:ascii="Times New Roman" w:hAnsi="Times New Roman" w:cs="Times New Roman"/>
          <w:b/>
          <w:smallCaps/>
          <w:color w:val="EE0000"/>
        </w:rPr>
      </w:pPr>
      <w:bookmarkStart w:id="0" w:name="_Hlk178089457"/>
      <w:r w:rsidRPr="0059296E">
        <w:rPr>
          <w:rFonts w:ascii="Times New Roman" w:hAnsi="Times New Roman" w:cs="Times New Roman"/>
          <w:b/>
          <w:smallCaps/>
          <w:color w:val="EE0000"/>
        </w:rPr>
        <w:t>Nome da Defensora ou Defensor Público</w:t>
      </w:r>
    </w:p>
    <w:p w14:paraId="3DF45BD3" w14:textId="1F9F9B93" w:rsidR="00FF7CA5" w:rsidRPr="0059296E" w:rsidRDefault="004049EC" w:rsidP="00FF7CA5">
      <w:pPr>
        <w:spacing w:after="0" w:line="240" w:lineRule="auto"/>
        <w:jc w:val="center"/>
        <w:rPr>
          <w:rFonts w:ascii="Times New Roman" w:hAnsi="Times New Roman" w:cs="Times New Roman"/>
          <w:bCs/>
          <w:smallCaps/>
          <w:color w:val="EE0000"/>
        </w:rPr>
      </w:pPr>
      <w:r w:rsidRPr="0059296E">
        <w:rPr>
          <w:rFonts w:ascii="Times New Roman" w:hAnsi="Times New Roman" w:cs="Times New Roman"/>
          <w:bCs/>
          <w:smallCaps/>
          <w:color w:val="EE0000"/>
        </w:rPr>
        <w:t>Defensoria Pública d</w:t>
      </w:r>
      <w:r w:rsidR="00E42D85" w:rsidRPr="0059296E">
        <w:rPr>
          <w:rFonts w:ascii="Times New Roman" w:hAnsi="Times New Roman" w:cs="Times New Roman"/>
          <w:bCs/>
          <w:smallCaps/>
          <w:color w:val="EE0000"/>
        </w:rPr>
        <w:t>a Comarca de</w:t>
      </w:r>
      <w:r w:rsidRPr="0059296E">
        <w:rPr>
          <w:rFonts w:ascii="Times New Roman" w:hAnsi="Times New Roman" w:cs="Times New Roman"/>
          <w:bCs/>
          <w:smallCaps/>
          <w:color w:val="EE0000"/>
        </w:rPr>
        <w:t xml:space="preserve"> </w:t>
      </w:r>
    </w:p>
    <w:p w14:paraId="3DF45BD4" w14:textId="454B8BA4" w:rsidR="00FF7CA5" w:rsidRPr="0059296E" w:rsidRDefault="00FF7CA5" w:rsidP="00FF7CA5">
      <w:pPr>
        <w:spacing w:after="0" w:line="240" w:lineRule="auto"/>
        <w:jc w:val="center"/>
        <w:rPr>
          <w:rFonts w:ascii="Times New Roman" w:hAnsi="Times New Roman" w:cs="Times New Roman"/>
          <w:bCs/>
          <w:smallCaps/>
          <w:color w:val="EE0000"/>
        </w:rPr>
      </w:pPr>
      <w:r w:rsidRPr="0059296E">
        <w:rPr>
          <w:rFonts w:ascii="Times New Roman" w:hAnsi="Times New Roman" w:cs="Times New Roman"/>
          <w:bCs/>
          <w:smallCaps/>
          <w:color w:val="EE0000"/>
        </w:rPr>
        <w:t>Defensor</w:t>
      </w:r>
      <w:r w:rsidR="004049EC" w:rsidRPr="0059296E">
        <w:rPr>
          <w:rFonts w:ascii="Times New Roman" w:hAnsi="Times New Roman" w:cs="Times New Roman"/>
          <w:bCs/>
          <w:smallCaps/>
          <w:color w:val="EE0000"/>
        </w:rPr>
        <w:t>(a)</w:t>
      </w:r>
      <w:r w:rsidRPr="0059296E">
        <w:rPr>
          <w:rFonts w:ascii="Times New Roman" w:hAnsi="Times New Roman" w:cs="Times New Roman"/>
          <w:bCs/>
          <w:smallCaps/>
          <w:color w:val="EE0000"/>
        </w:rPr>
        <w:t xml:space="preserve"> Público</w:t>
      </w:r>
      <w:r w:rsidR="004049EC" w:rsidRPr="0059296E">
        <w:rPr>
          <w:rFonts w:ascii="Times New Roman" w:hAnsi="Times New Roman" w:cs="Times New Roman"/>
          <w:bCs/>
          <w:smallCaps/>
          <w:color w:val="EE0000"/>
        </w:rPr>
        <w:t>(a)</w:t>
      </w:r>
    </w:p>
    <w:p w14:paraId="3DF45BD5" w14:textId="492021C8" w:rsidR="007C526B" w:rsidRDefault="00FF7CA5" w:rsidP="00B86D9F">
      <w:pPr>
        <w:spacing w:after="0" w:line="240" w:lineRule="auto"/>
        <w:jc w:val="center"/>
        <w:rPr>
          <w:rFonts w:ascii="Times New Roman" w:hAnsi="Times New Roman" w:cs="Times New Roman"/>
          <w:bCs/>
          <w:smallCaps/>
          <w:color w:val="EE0000"/>
        </w:rPr>
      </w:pPr>
      <w:r w:rsidRPr="0059296E">
        <w:rPr>
          <w:rFonts w:ascii="Times New Roman" w:hAnsi="Times New Roman" w:cs="Times New Roman"/>
          <w:bCs/>
          <w:smallCaps/>
          <w:color w:val="EE0000"/>
        </w:rPr>
        <w:t xml:space="preserve">Madep </w:t>
      </w:r>
      <w:bookmarkEnd w:id="0"/>
      <w:r w:rsidR="004049EC" w:rsidRPr="0059296E">
        <w:rPr>
          <w:rFonts w:ascii="Times New Roman" w:hAnsi="Times New Roman" w:cs="Times New Roman"/>
          <w:bCs/>
          <w:smallCaps/>
          <w:color w:val="EE0000"/>
        </w:rPr>
        <w:t>XXX</w:t>
      </w:r>
      <w:r w:rsidR="0059296E" w:rsidRPr="0059296E">
        <w:rPr>
          <w:rFonts w:ascii="Times New Roman" w:hAnsi="Times New Roman" w:cs="Times New Roman"/>
          <w:bCs/>
          <w:smallCaps/>
          <w:color w:val="EE0000"/>
        </w:rPr>
        <w:t>X</w:t>
      </w:r>
    </w:p>
    <w:p w14:paraId="643350A1" w14:textId="77777777" w:rsidR="00E428E4" w:rsidRDefault="00E428E4" w:rsidP="00B86D9F">
      <w:pPr>
        <w:spacing w:after="0" w:line="240" w:lineRule="auto"/>
        <w:jc w:val="center"/>
        <w:rPr>
          <w:rFonts w:ascii="Times New Roman" w:hAnsi="Times New Roman" w:cs="Times New Roman"/>
          <w:bCs/>
          <w:smallCaps/>
          <w:color w:val="EE0000"/>
        </w:rPr>
      </w:pPr>
    </w:p>
    <w:p w14:paraId="33D2C09E" w14:textId="77777777" w:rsidR="00E428E4" w:rsidRDefault="00E428E4" w:rsidP="00B86D9F">
      <w:pPr>
        <w:spacing w:after="0" w:line="240" w:lineRule="auto"/>
        <w:jc w:val="center"/>
        <w:rPr>
          <w:rFonts w:ascii="Times New Roman" w:hAnsi="Times New Roman" w:cs="Times New Roman"/>
          <w:bCs/>
          <w:smallCaps/>
          <w:color w:val="EE0000"/>
        </w:rPr>
      </w:pPr>
    </w:p>
    <w:p w14:paraId="6BD73E3E" w14:textId="77777777" w:rsidR="00E428E4" w:rsidRDefault="00E428E4" w:rsidP="00B86D9F">
      <w:pPr>
        <w:spacing w:after="0" w:line="240" w:lineRule="auto"/>
        <w:jc w:val="center"/>
        <w:rPr>
          <w:rFonts w:ascii="Times New Roman" w:hAnsi="Times New Roman" w:cs="Times New Roman"/>
          <w:bCs/>
          <w:smallCaps/>
          <w:color w:val="EE0000"/>
        </w:rPr>
      </w:pPr>
    </w:p>
    <w:p w14:paraId="17178BED" w14:textId="77777777" w:rsidR="00E428E4" w:rsidRDefault="00E428E4" w:rsidP="00B86D9F">
      <w:pPr>
        <w:spacing w:after="0" w:line="240" w:lineRule="auto"/>
        <w:jc w:val="center"/>
        <w:rPr>
          <w:rFonts w:ascii="Times New Roman" w:hAnsi="Times New Roman" w:cs="Times New Roman"/>
          <w:bCs/>
          <w:smallCaps/>
          <w:color w:val="EE0000"/>
        </w:rPr>
      </w:pPr>
    </w:p>
    <w:p w14:paraId="2DDB6772" w14:textId="77777777" w:rsidR="00B636F2" w:rsidRDefault="00B636F2" w:rsidP="00B86D9F">
      <w:pPr>
        <w:spacing w:after="0" w:line="240" w:lineRule="auto"/>
        <w:jc w:val="center"/>
        <w:rPr>
          <w:rFonts w:ascii="Times New Roman" w:hAnsi="Times New Roman" w:cs="Times New Roman"/>
          <w:bCs/>
          <w:smallCaps/>
          <w:color w:val="EE0000"/>
        </w:rPr>
      </w:pPr>
    </w:p>
    <w:p w14:paraId="496BE092" w14:textId="77777777" w:rsidR="00E428E4" w:rsidRPr="00FF7CA5" w:rsidRDefault="00E428E4" w:rsidP="00E428E4">
      <w:pPr>
        <w:spacing w:after="0" w:line="240" w:lineRule="auto"/>
        <w:jc w:val="center"/>
        <w:rPr>
          <w:rFonts w:ascii="Times New Roman" w:hAnsi="Times New Roman"/>
          <w:b/>
          <w:smallCaps/>
          <w:color w:val="000000"/>
        </w:rPr>
      </w:pPr>
      <w:r w:rsidRPr="00FF7CA5">
        <w:rPr>
          <w:rFonts w:ascii="Times New Roman" w:hAnsi="Times New Roman"/>
          <w:b/>
          <w:smallCaps/>
          <w:color w:val="000000"/>
        </w:rPr>
        <w:t>Paulo Cesar Azevedo de Almeida</w:t>
      </w:r>
    </w:p>
    <w:p w14:paraId="4A93121C" w14:textId="77777777" w:rsidR="00E428E4" w:rsidRPr="00A14421" w:rsidRDefault="00E428E4" w:rsidP="00E428E4">
      <w:pPr>
        <w:spacing w:after="0" w:line="240" w:lineRule="auto"/>
        <w:jc w:val="center"/>
        <w:rPr>
          <w:rFonts w:ascii="Times New Roman" w:hAnsi="Times New Roman"/>
          <w:bCs/>
          <w:smallCaps/>
          <w:color w:val="000000"/>
        </w:rPr>
      </w:pPr>
      <w:r w:rsidRPr="00A14421">
        <w:rPr>
          <w:rFonts w:ascii="Times New Roman" w:hAnsi="Times New Roman"/>
          <w:bCs/>
          <w:smallCaps/>
          <w:color w:val="000000"/>
        </w:rPr>
        <w:t>Coordenadoria Estratégica em Tutela Coletiva</w:t>
      </w:r>
    </w:p>
    <w:p w14:paraId="072AAA8C" w14:textId="77777777" w:rsidR="00E428E4" w:rsidRPr="00A14421" w:rsidRDefault="00E428E4" w:rsidP="00E428E4">
      <w:pPr>
        <w:spacing w:after="0" w:line="240" w:lineRule="auto"/>
        <w:jc w:val="center"/>
        <w:rPr>
          <w:rFonts w:ascii="Times New Roman" w:hAnsi="Times New Roman"/>
          <w:bCs/>
          <w:smallCaps/>
          <w:color w:val="000000"/>
        </w:rPr>
      </w:pPr>
      <w:r w:rsidRPr="00A14421">
        <w:rPr>
          <w:rFonts w:ascii="Times New Roman" w:hAnsi="Times New Roman"/>
          <w:bCs/>
          <w:smallCaps/>
          <w:color w:val="000000"/>
        </w:rPr>
        <w:t>Defensor Público</w:t>
      </w:r>
    </w:p>
    <w:p w14:paraId="5BCC587F" w14:textId="5700E650" w:rsidR="00E428E4" w:rsidRPr="00E428E4" w:rsidRDefault="00E428E4" w:rsidP="00E428E4">
      <w:pPr>
        <w:spacing w:after="0" w:line="240" w:lineRule="auto"/>
        <w:jc w:val="center"/>
        <w:rPr>
          <w:rFonts w:ascii="Times New Roman" w:hAnsi="Times New Roman"/>
          <w:bCs/>
          <w:smallCaps/>
          <w:color w:val="000000"/>
        </w:rPr>
      </w:pPr>
      <w:r w:rsidRPr="00A14421">
        <w:rPr>
          <w:rFonts w:ascii="Times New Roman" w:hAnsi="Times New Roman"/>
          <w:bCs/>
          <w:smallCaps/>
          <w:color w:val="000000"/>
        </w:rPr>
        <w:t>Madep 883</w:t>
      </w:r>
    </w:p>
    <w:sectPr w:rsidR="00E428E4" w:rsidRPr="00E428E4" w:rsidSect="0029115F">
      <w:headerReference w:type="default" r:id="rId9"/>
      <w:footerReference w:type="default" r:id="rId10"/>
      <w:pgSz w:w="11906" w:h="16838"/>
      <w:pgMar w:top="249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2851C" w14:textId="77777777" w:rsidR="00F76EE1" w:rsidRDefault="00F76EE1">
      <w:pPr>
        <w:spacing w:after="0" w:line="240" w:lineRule="auto"/>
      </w:pPr>
      <w:r>
        <w:separator/>
      </w:r>
    </w:p>
  </w:endnote>
  <w:endnote w:type="continuationSeparator" w:id="0">
    <w:p w14:paraId="27D4D2AE" w14:textId="77777777" w:rsidR="00F76EE1" w:rsidRDefault="00F76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New Roman Negrito">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5BDC" w14:textId="77777777" w:rsidR="007C526B" w:rsidRDefault="00BE4420">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B0628">
      <w:rPr>
        <w:noProof/>
        <w:color w:val="000000"/>
      </w:rPr>
      <w:t>1</w:t>
    </w:r>
    <w:r>
      <w:rPr>
        <w:color w:val="000000"/>
      </w:rPr>
      <w:fldChar w:fldCharType="end"/>
    </w:r>
  </w:p>
  <w:p w14:paraId="3DF45BDD" w14:textId="77777777" w:rsidR="007C526B" w:rsidRDefault="00BE4420">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Coordenadoria Estratégica em Tutela Coletiva</w:t>
    </w:r>
  </w:p>
  <w:p w14:paraId="3DF45BDE" w14:textId="77777777" w:rsidR="007C526B" w:rsidRDefault="00C52235">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Avenida Bias Fortes, nº 431, 8º andar, Lourdes</w:t>
    </w:r>
    <w:r w:rsidR="00BE4420">
      <w:rPr>
        <w:rFonts w:ascii="Times New Roman" w:eastAsia="Times New Roman" w:hAnsi="Times New Roman" w:cs="Times New Roman"/>
        <w:color w:val="000000"/>
      </w:rPr>
      <w:t>, Belo Horizonte/MG.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9882" w14:textId="77777777" w:rsidR="00F76EE1" w:rsidRDefault="00F76EE1">
      <w:pPr>
        <w:spacing w:after="0" w:line="240" w:lineRule="auto"/>
      </w:pPr>
      <w:r>
        <w:separator/>
      </w:r>
    </w:p>
  </w:footnote>
  <w:footnote w:type="continuationSeparator" w:id="0">
    <w:p w14:paraId="4A394B65" w14:textId="77777777" w:rsidR="00F76EE1" w:rsidRDefault="00F76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BDDD2" w14:textId="77777777" w:rsidR="0029115F" w:rsidRDefault="0029115F">
    <w:pPr>
      <w:pBdr>
        <w:top w:val="nil"/>
        <w:left w:val="nil"/>
        <w:bottom w:val="nil"/>
        <w:right w:val="nil"/>
        <w:between w:val="nil"/>
      </w:pBdr>
      <w:tabs>
        <w:tab w:val="center" w:pos="4252"/>
        <w:tab w:val="right" w:pos="8504"/>
      </w:tabs>
      <w:spacing w:after="0" w:line="240" w:lineRule="auto"/>
      <w:jc w:val="center"/>
      <w:rPr>
        <w:color w:val="000000"/>
      </w:rPr>
    </w:pPr>
  </w:p>
  <w:p w14:paraId="3DF45BDA" w14:textId="34426A11" w:rsidR="007C526B" w:rsidRDefault="0029115F">
    <w:pPr>
      <w:pBdr>
        <w:top w:val="nil"/>
        <w:left w:val="nil"/>
        <w:bottom w:val="nil"/>
        <w:right w:val="nil"/>
        <w:between w:val="nil"/>
      </w:pBdr>
      <w:tabs>
        <w:tab w:val="center" w:pos="4252"/>
        <w:tab w:val="right" w:pos="8504"/>
      </w:tabs>
      <w:spacing w:after="0" w:line="240" w:lineRule="auto"/>
      <w:jc w:val="center"/>
      <w:rPr>
        <w:color w:val="000000"/>
      </w:rPr>
    </w:pPr>
    <w:r>
      <w:rPr>
        <w:noProof/>
      </w:rPr>
      <w:drawing>
        <wp:inline distT="0" distB="0" distL="0" distR="0" wp14:anchorId="2D0ECE16" wp14:editId="2C04F491">
          <wp:extent cx="2948227" cy="767413"/>
          <wp:effectExtent l="0" t="0" r="0" b="0"/>
          <wp:docPr id="1777142126" name="Gráfico 1777142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ova.68b85fa7.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036941" cy="790505"/>
                  </a:xfrm>
                  <a:prstGeom prst="rect">
                    <a:avLst/>
                  </a:prstGeom>
                </pic:spPr>
              </pic:pic>
            </a:graphicData>
          </a:graphic>
        </wp:inline>
      </w:drawing>
    </w:r>
  </w:p>
  <w:p w14:paraId="3DF45BDB" w14:textId="77777777" w:rsidR="007C526B" w:rsidRDefault="007C526B">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169BB"/>
    <w:multiLevelType w:val="hybridMultilevel"/>
    <w:tmpl w:val="070CB9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AD85C9E"/>
    <w:multiLevelType w:val="multilevel"/>
    <w:tmpl w:val="B2E8F7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185A4A"/>
    <w:multiLevelType w:val="multilevel"/>
    <w:tmpl w:val="440E25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561AB1"/>
    <w:multiLevelType w:val="multilevel"/>
    <w:tmpl w:val="440E25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59623706">
    <w:abstractNumId w:val="2"/>
  </w:num>
  <w:num w:numId="2" w16cid:durableId="861236831">
    <w:abstractNumId w:val="3"/>
  </w:num>
  <w:num w:numId="3" w16cid:durableId="1046442761">
    <w:abstractNumId w:val="0"/>
  </w:num>
  <w:num w:numId="4" w16cid:durableId="369494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26B"/>
    <w:rsid w:val="00001A2F"/>
    <w:rsid w:val="00011FE6"/>
    <w:rsid w:val="00014083"/>
    <w:rsid w:val="000163C5"/>
    <w:rsid w:val="000210DC"/>
    <w:rsid w:val="000240AE"/>
    <w:rsid w:val="00034070"/>
    <w:rsid w:val="00044BED"/>
    <w:rsid w:val="00044FB7"/>
    <w:rsid w:val="0006585D"/>
    <w:rsid w:val="00073A2B"/>
    <w:rsid w:val="0008774F"/>
    <w:rsid w:val="000955C0"/>
    <w:rsid w:val="000B7B99"/>
    <w:rsid w:val="000D70D4"/>
    <w:rsid w:val="000E3CB9"/>
    <w:rsid w:val="000E6F9E"/>
    <w:rsid w:val="000E7F55"/>
    <w:rsid w:val="000F6211"/>
    <w:rsid w:val="000F6931"/>
    <w:rsid w:val="0011641E"/>
    <w:rsid w:val="00137D02"/>
    <w:rsid w:val="001462C2"/>
    <w:rsid w:val="00146585"/>
    <w:rsid w:val="0015126E"/>
    <w:rsid w:val="00154828"/>
    <w:rsid w:val="00162E77"/>
    <w:rsid w:val="0017405C"/>
    <w:rsid w:val="001753F8"/>
    <w:rsid w:val="00177AA3"/>
    <w:rsid w:val="00184BEC"/>
    <w:rsid w:val="00193C18"/>
    <w:rsid w:val="001A4457"/>
    <w:rsid w:val="001A47A5"/>
    <w:rsid w:val="001B0834"/>
    <w:rsid w:val="001B582C"/>
    <w:rsid w:val="001C242E"/>
    <w:rsid w:val="001C608D"/>
    <w:rsid w:val="001D32D8"/>
    <w:rsid w:val="001E0E62"/>
    <w:rsid w:val="001E1A7B"/>
    <w:rsid w:val="001E6593"/>
    <w:rsid w:val="001F2908"/>
    <w:rsid w:val="002046D2"/>
    <w:rsid w:val="00227A07"/>
    <w:rsid w:val="00231612"/>
    <w:rsid w:val="002345EB"/>
    <w:rsid w:val="00235923"/>
    <w:rsid w:val="00240F87"/>
    <w:rsid w:val="00244416"/>
    <w:rsid w:val="00247505"/>
    <w:rsid w:val="002535A7"/>
    <w:rsid w:val="0026083C"/>
    <w:rsid w:val="00260B33"/>
    <w:rsid w:val="0026269F"/>
    <w:rsid w:val="00271D40"/>
    <w:rsid w:val="00287ADD"/>
    <w:rsid w:val="0029115F"/>
    <w:rsid w:val="002916A9"/>
    <w:rsid w:val="002949C9"/>
    <w:rsid w:val="002A202D"/>
    <w:rsid w:val="002A3B18"/>
    <w:rsid w:val="002C3BE9"/>
    <w:rsid w:val="002C42B9"/>
    <w:rsid w:val="002D2281"/>
    <w:rsid w:val="002E087A"/>
    <w:rsid w:val="002E11C3"/>
    <w:rsid w:val="002E1F7A"/>
    <w:rsid w:val="002E6D85"/>
    <w:rsid w:val="002F23CD"/>
    <w:rsid w:val="002F35B8"/>
    <w:rsid w:val="00317C08"/>
    <w:rsid w:val="00322C8D"/>
    <w:rsid w:val="003251E3"/>
    <w:rsid w:val="00353F79"/>
    <w:rsid w:val="00356A8B"/>
    <w:rsid w:val="0037405A"/>
    <w:rsid w:val="00374C3C"/>
    <w:rsid w:val="003904C7"/>
    <w:rsid w:val="00394037"/>
    <w:rsid w:val="003A4FC8"/>
    <w:rsid w:val="003B527A"/>
    <w:rsid w:val="003C56BC"/>
    <w:rsid w:val="003D24D2"/>
    <w:rsid w:val="003E693A"/>
    <w:rsid w:val="003E6D35"/>
    <w:rsid w:val="003F753A"/>
    <w:rsid w:val="00404680"/>
    <w:rsid w:val="004049EC"/>
    <w:rsid w:val="0041659E"/>
    <w:rsid w:val="00420580"/>
    <w:rsid w:val="004206E6"/>
    <w:rsid w:val="00437009"/>
    <w:rsid w:val="00455684"/>
    <w:rsid w:val="00467182"/>
    <w:rsid w:val="004761A3"/>
    <w:rsid w:val="004765EF"/>
    <w:rsid w:val="00480103"/>
    <w:rsid w:val="0048342A"/>
    <w:rsid w:val="00483D24"/>
    <w:rsid w:val="00493F4B"/>
    <w:rsid w:val="00495C77"/>
    <w:rsid w:val="004B07E7"/>
    <w:rsid w:val="004B68B0"/>
    <w:rsid w:val="004C3C33"/>
    <w:rsid w:val="004D1017"/>
    <w:rsid w:val="004D11B8"/>
    <w:rsid w:val="004D2BFC"/>
    <w:rsid w:val="004F4F9A"/>
    <w:rsid w:val="00501216"/>
    <w:rsid w:val="005078AB"/>
    <w:rsid w:val="005131AC"/>
    <w:rsid w:val="005358D4"/>
    <w:rsid w:val="00536801"/>
    <w:rsid w:val="00556EB0"/>
    <w:rsid w:val="00573315"/>
    <w:rsid w:val="00577FB3"/>
    <w:rsid w:val="0059296E"/>
    <w:rsid w:val="0059434E"/>
    <w:rsid w:val="005A1274"/>
    <w:rsid w:val="005A67C6"/>
    <w:rsid w:val="005B3DBF"/>
    <w:rsid w:val="005B4CFB"/>
    <w:rsid w:val="005D668F"/>
    <w:rsid w:val="005D7670"/>
    <w:rsid w:val="005E6F60"/>
    <w:rsid w:val="005F0D79"/>
    <w:rsid w:val="005F3DC4"/>
    <w:rsid w:val="0060523B"/>
    <w:rsid w:val="00607D16"/>
    <w:rsid w:val="00610017"/>
    <w:rsid w:val="006119A2"/>
    <w:rsid w:val="00611F2A"/>
    <w:rsid w:val="00613192"/>
    <w:rsid w:val="0063604A"/>
    <w:rsid w:val="0065425A"/>
    <w:rsid w:val="0066521B"/>
    <w:rsid w:val="0066552C"/>
    <w:rsid w:val="006668BD"/>
    <w:rsid w:val="00666970"/>
    <w:rsid w:val="00686D52"/>
    <w:rsid w:val="006B78BD"/>
    <w:rsid w:val="006B78E3"/>
    <w:rsid w:val="006B7C01"/>
    <w:rsid w:val="006E2252"/>
    <w:rsid w:val="006E36C8"/>
    <w:rsid w:val="006E5369"/>
    <w:rsid w:val="00702603"/>
    <w:rsid w:val="0070551F"/>
    <w:rsid w:val="007169BE"/>
    <w:rsid w:val="00725295"/>
    <w:rsid w:val="00735790"/>
    <w:rsid w:val="0074322D"/>
    <w:rsid w:val="00745CD0"/>
    <w:rsid w:val="007542F0"/>
    <w:rsid w:val="00762F74"/>
    <w:rsid w:val="00764EE7"/>
    <w:rsid w:val="00770560"/>
    <w:rsid w:val="00770601"/>
    <w:rsid w:val="00771022"/>
    <w:rsid w:val="0077142D"/>
    <w:rsid w:val="00777EBF"/>
    <w:rsid w:val="007853B2"/>
    <w:rsid w:val="00790878"/>
    <w:rsid w:val="00796A94"/>
    <w:rsid w:val="007B0792"/>
    <w:rsid w:val="007C526B"/>
    <w:rsid w:val="007C5372"/>
    <w:rsid w:val="007D5A18"/>
    <w:rsid w:val="007D5B31"/>
    <w:rsid w:val="007E47CD"/>
    <w:rsid w:val="007E4BBF"/>
    <w:rsid w:val="007E5AA1"/>
    <w:rsid w:val="007E7F11"/>
    <w:rsid w:val="00801658"/>
    <w:rsid w:val="008035B2"/>
    <w:rsid w:val="00806593"/>
    <w:rsid w:val="008145A8"/>
    <w:rsid w:val="00832A47"/>
    <w:rsid w:val="00834E96"/>
    <w:rsid w:val="008371C6"/>
    <w:rsid w:val="00841F3E"/>
    <w:rsid w:val="008545B8"/>
    <w:rsid w:val="008602CA"/>
    <w:rsid w:val="008627E4"/>
    <w:rsid w:val="008708C1"/>
    <w:rsid w:val="00874A64"/>
    <w:rsid w:val="0088645A"/>
    <w:rsid w:val="008A5312"/>
    <w:rsid w:val="008C2B45"/>
    <w:rsid w:val="008D7AE8"/>
    <w:rsid w:val="008D7C3C"/>
    <w:rsid w:val="008F37D8"/>
    <w:rsid w:val="008F46F7"/>
    <w:rsid w:val="008F6A90"/>
    <w:rsid w:val="00902857"/>
    <w:rsid w:val="009039E2"/>
    <w:rsid w:val="00916AAD"/>
    <w:rsid w:val="00917EE6"/>
    <w:rsid w:val="0092498A"/>
    <w:rsid w:val="00935E31"/>
    <w:rsid w:val="00945CE9"/>
    <w:rsid w:val="009539A2"/>
    <w:rsid w:val="00955F67"/>
    <w:rsid w:val="009642BF"/>
    <w:rsid w:val="00966907"/>
    <w:rsid w:val="009677E8"/>
    <w:rsid w:val="00972757"/>
    <w:rsid w:val="00974388"/>
    <w:rsid w:val="009814CB"/>
    <w:rsid w:val="00994747"/>
    <w:rsid w:val="00995F3B"/>
    <w:rsid w:val="009A5A6A"/>
    <w:rsid w:val="009B0A36"/>
    <w:rsid w:val="009B2F9E"/>
    <w:rsid w:val="009B55C0"/>
    <w:rsid w:val="009B6DE9"/>
    <w:rsid w:val="009C4A08"/>
    <w:rsid w:val="009C5752"/>
    <w:rsid w:val="009D0089"/>
    <w:rsid w:val="009D4163"/>
    <w:rsid w:val="009E2BF4"/>
    <w:rsid w:val="009E7E01"/>
    <w:rsid w:val="009F0BEE"/>
    <w:rsid w:val="009F4421"/>
    <w:rsid w:val="009F5BEB"/>
    <w:rsid w:val="009F6FBB"/>
    <w:rsid w:val="00A02876"/>
    <w:rsid w:val="00A046EC"/>
    <w:rsid w:val="00A055D9"/>
    <w:rsid w:val="00A14421"/>
    <w:rsid w:val="00A168D6"/>
    <w:rsid w:val="00A20C05"/>
    <w:rsid w:val="00A21B6B"/>
    <w:rsid w:val="00A32D8B"/>
    <w:rsid w:val="00A33837"/>
    <w:rsid w:val="00A359EB"/>
    <w:rsid w:val="00A50F55"/>
    <w:rsid w:val="00A5291B"/>
    <w:rsid w:val="00A5630A"/>
    <w:rsid w:val="00A66C64"/>
    <w:rsid w:val="00A67AB6"/>
    <w:rsid w:val="00A765EB"/>
    <w:rsid w:val="00A875C3"/>
    <w:rsid w:val="00A96F18"/>
    <w:rsid w:val="00AA5AFF"/>
    <w:rsid w:val="00AB2FBF"/>
    <w:rsid w:val="00AB44A3"/>
    <w:rsid w:val="00AB75E5"/>
    <w:rsid w:val="00AC66D5"/>
    <w:rsid w:val="00AC6BF1"/>
    <w:rsid w:val="00AE402D"/>
    <w:rsid w:val="00AE7670"/>
    <w:rsid w:val="00AF2BBD"/>
    <w:rsid w:val="00B07345"/>
    <w:rsid w:val="00B14398"/>
    <w:rsid w:val="00B212C6"/>
    <w:rsid w:val="00B22AAD"/>
    <w:rsid w:val="00B23265"/>
    <w:rsid w:val="00B24C92"/>
    <w:rsid w:val="00B31A8A"/>
    <w:rsid w:val="00B33E03"/>
    <w:rsid w:val="00B37B7C"/>
    <w:rsid w:val="00B41E5F"/>
    <w:rsid w:val="00B450E9"/>
    <w:rsid w:val="00B47BC3"/>
    <w:rsid w:val="00B508E2"/>
    <w:rsid w:val="00B5121A"/>
    <w:rsid w:val="00B636F2"/>
    <w:rsid w:val="00B66D1A"/>
    <w:rsid w:val="00B671CC"/>
    <w:rsid w:val="00B73D77"/>
    <w:rsid w:val="00B75AE0"/>
    <w:rsid w:val="00B84474"/>
    <w:rsid w:val="00B85076"/>
    <w:rsid w:val="00B86814"/>
    <w:rsid w:val="00B86D9F"/>
    <w:rsid w:val="00B90E7F"/>
    <w:rsid w:val="00B9790A"/>
    <w:rsid w:val="00BA141C"/>
    <w:rsid w:val="00BB0628"/>
    <w:rsid w:val="00BC0203"/>
    <w:rsid w:val="00BC0303"/>
    <w:rsid w:val="00BC37FA"/>
    <w:rsid w:val="00BD2630"/>
    <w:rsid w:val="00BE3DA0"/>
    <w:rsid w:val="00BE4420"/>
    <w:rsid w:val="00BE7023"/>
    <w:rsid w:val="00BF5011"/>
    <w:rsid w:val="00C00330"/>
    <w:rsid w:val="00C01579"/>
    <w:rsid w:val="00C07982"/>
    <w:rsid w:val="00C111AA"/>
    <w:rsid w:val="00C22EE2"/>
    <w:rsid w:val="00C25074"/>
    <w:rsid w:val="00C30C38"/>
    <w:rsid w:val="00C520D4"/>
    <w:rsid w:val="00C52235"/>
    <w:rsid w:val="00C535E6"/>
    <w:rsid w:val="00C802A1"/>
    <w:rsid w:val="00C8038E"/>
    <w:rsid w:val="00C82A65"/>
    <w:rsid w:val="00C964FF"/>
    <w:rsid w:val="00C97135"/>
    <w:rsid w:val="00CC0800"/>
    <w:rsid w:val="00CC3A8B"/>
    <w:rsid w:val="00CD5E6B"/>
    <w:rsid w:val="00CF221A"/>
    <w:rsid w:val="00CF37A3"/>
    <w:rsid w:val="00D05945"/>
    <w:rsid w:val="00D173FD"/>
    <w:rsid w:val="00D21836"/>
    <w:rsid w:val="00D25B90"/>
    <w:rsid w:val="00D371F3"/>
    <w:rsid w:val="00D4395B"/>
    <w:rsid w:val="00D50E49"/>
    <w:rsid w:val="00D5335D"/>
    <w:rsid w:val="00D7599C"/>
    <w:rsid w:val="00D8156C"/>
    <w:rsid w:val="00DA3103"/>
    <w:rsid w:val="00DA53B8"/>
    <w:rsid w:val="00DB183C"/>
    <w:rsid w:val="00DB2324"/>
    <w:rsid w:val="00DB2492"/>
    <w:rsid w:val="00DC318E"/>
    <w:rsid w:val="00DC48DC"/>
    <w:rsid w:val="00DD24D9"/>
    <w:rsid w:val="00DD6D52"/>
    <w:rsid w:val="00DD7C0D"/>
    <w:rsid w:val="00DE2F82"/>
    <w:rsid w:val="00DE38BE"/>
    <w:rsid w:val="00DE650A"/>
    <w:rsid w:val="00DF4E2C"/>
    <w:rsid w:val="00DF7E6E"/>
    <w:rsid w:val="00E07306"/>
    <w:rsid w:val="00E12C2E"/>
    <w:rsid w:val="00E20D2C"/>
    <w:rsid w:val="00E22BB6"/>
    <w:rsid w:val="00E261A8"/>
    <w:rsid w:val="00E317AB"/>
    <w:rsid w:val="00E347A7"/>
    <w:rsid w:val="00E428E4"/>
    <w:rsid w:val="00E42D85"/>
    <w:rsid w:val="00E46E67"/>
    <w:rsid w:val="00E5247A"/>
    <w:rsid w:val="00E643C0"/>
    <w:rsid w:val="00E6498C"/>
    <w:rsid w:val="00E657AF"/>
    <w:rsid w:val="00E73395"/>
    <w:rsid w:val="00E80775"/>
    <w:rsid w:val="00E85F35"/>
    <w:rsid w:val="00E87750"/>
    <w:rsid w:val="00EA18F6"/>
    <w:rsid w:val="00EA1F65"/>
    <w:rsid w:val="00EA3AEC"/>
    <w:rsid w:val="00EB2792"/>
    <w:rsid w:val="00EB5CC2"/>
    <w:rsid w:val="00EB6AA2"/>
    <w:rsid w:val="00EC329F"/>
    <w:rsid w:val="00ED74C5"/>
    <w:rsid w:val="00EE3FA0"/>
    <w:rsid w:val="00EE61BF"/>
    <w:rsid w:val="00EE68CD"/>
    <w:rsid w:val="00EE72EE"/>
    <w:rsid w:val="00EF08B9"/>
    <w:rsid w:val="00EF5410"/>
    <w:rsid w:val="00F145D8"/>
    <w:rsid w:val="00F24A7C"/>
    <w:rsid w:val="00F26715"/>
    <w:rsid w:val="00F34DD2"/>
    <w:rsid w:val="00F57942"/>
    <w:rsid w:val="00F6060D"/>
    <w:rsid w:val="00F61315"/>
    <w:rsid w:val="00F6462A"/>
    <w:rsid w:val="00F72606"/>
    <w:rsid w:val="00F741CC"/>
    <w:rsid w:val="00F75347"/>
    <w:rsid w:val="00F76EE1"/>
    <w:rsid w:val="00F82463"/>
    <w:rsid w:val="00F82D0E"/>
    <w:rsid w:val="00F874F6"/>
    <w:rsid w:val="00F8770B"/>
    <w:rsid w:val="00F975AB"/>
    <w:rsid w:val="00FA2F69"/>
    <w:rsid w:val="00FB59CF"/>
    <w:rsid w:val="00FB630A"/>
    <w:rsid w:val="00FC5717"/>
    <w:rsid w:val="00FD5923"/>
    <w:rsid w:val="00FE3055"/>
    <w:rsid w:val="00FE3AB6"/>
    <w:rsid w:val="00FF15C9"/>
    <w:rsid w:val="00FF2C86"/>
    <w:rsid w:val="00FF4497"/>
    <w:rsid w:val="00FF7C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45B91"/>
  <w15:docId w15:val="{68DEB5BC-5041-4322-AD7C-63DEC23F9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FE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6346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34617"/>
  </w:style>
  <w:style w:type="paragraph" w:styleId="Rodap">
    <w:name w:val="footer"/>
    <w:basedOn w:val="Normal"/>
    <w:link w:val="RodapChar"/>
    <w:uiPriority w:val="99"/>
    <w:unhideWhenUsed/>
    <w:rsid w:val="00634617"/>
    <w:pPr>
      <w:tabs>
        <w:tab w:val="center" w:pos="4252"/>
        <w:tab w:val="right" w:pos="8504"/>
      </w:tabs>
      <w:spacing w:after="0" w:line="240" w:lineRule="auto"/>
    </w:pPr>
  </w:style>
  <w:style w:type="character" w:customStyle="1" w:styleId="RodapChar">
    <w:name w:val="Rodapé Char"/>
    <w:basedOn w:val="Fontepargpadro"/>
    <w:link w:val="Rodap"/>
    <w:uiPriority w:val="99"/>
    <w:rsid w:val="00634617"/>
  </w:style>
  <w:style w:type="paragraph" w:styleId="Textodebalo">
    <w:name w:val="Balloon Text"/>
    <w:basedOn w:val="Normal"/>
    <w:link w:val="TextodebaloChar"/>
    <w:uiPriority w:val="99"/>
    <w:semiHidden/>
    <w:unhideWhenUsed/>
    <w:rsid w:val="0063461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4617"/>
    <w:rPr>
      <w:rFonts w:ascii="Tahoma" w:hAnsi="Tahoma" w:cs="Tahoma"/>
      <w:sz w:val="16"/>
      <w:szCs w:val="16"/>
    </w:rPr>
  </w:style>
  <w:style w:type="paragraph" w:styleId="SemEspaamento">
    <w:name w:val="No Spacing"/>
    <w:aliases w:val="Normal com numeração"/>
    <w:basedOn w:val="PargrafodaLista"/>
    <w:autoRedefine/>
    <w:uiPriority w:val="1"/>
    <w:qFormat/>
    <w:rsid w:val="00990E1C"/>
    <w:pPr>
      <w:spacing w:after="80"/>
      <w:ind w:left="0"/>
      <w:contextualSpacing w:val="0"/>
      <w:jc w:val="both"/>
    </w:pPr>
    <w:rPr>
      <w:rFonts w:eastAsia="Times New Roman"/>
      <w:b/>
      <w:bCs/>
      <w:color w:val="000000" w:themeColor="text1"/>
      <w:sz w:val="23"/>
      <w:szCs w:val="21"/>
    </w:rPr>
  </w:style>
  <w:style w:type="paragraph" w:styleId="PargrafodaLista">
    <w:name w:val="List Paragraph"/>
    <w:basedOn w:val="Normal"/>
    <w:uiPriority w:val="34"/>
    <w:qFormat/>
    <w:rsid w:val="00851D40"/>
    <w:pPr>
      <w:ind w:left="720"/>
      <w:contextualSpacing/>
    </w:pPr>
  </w:style>
  <w:style w:type="character" w:styleId="Hyperlink">
    <w:name w:val="Hyperlink"/>
    <w:unhideWhenUsed/>
    <w:rsid w:val="00B17688"/>
    <w:rPr>
      <w:color w:val="0000FF"/>
      <w:u w:val="single"/>
    </w:rPr>
  </w:style>
  <w:style w:type="paragraph" w:styleId="Textodenotaderodap">
    <w:name w:val="footnote text"/>
    <w:basedOn w:val="Normal"/>
    <w:link w:val="TextodenotaderodapChar"/>
    <w:unhideWhenUsed/>
    <w:rsid w:val="00B17688"/>
    <w:pPr>
      <w:spacing w:after="0" w:line="240" w:lineRule="auto"/>
      <w:jc w:val="both"/>
    </w:pPr>
    <w:rPr>
      <w:rFonts w:cs="Times New Roman"/>
      <w:sz w:val="20"/>
      <w:szCs w:val="20"/>
    </w:rPr>
  </w:style>
  <w:style w:type="character" w:customStyle="1" w:styleId="TextodenotaderodapChar">
    <w:name w:val="Texto de nota de rodapé Char"/>
    <w:basedOn w:val="Fontepargpadro"/>
    <w:link w:val="Textodenotaderodap"/>
    <w:uiPriority w:val="99"/>
    <w:rsid w:val="00B17688"/>
    <w:rPr>
      <w:rFonts w:ascii="Calibri" w:eastAsia="Calibri" w:hAnsi="Calibri" w:cs="Times New Roman"/>
      <w:sz w:val="20"/>
      <w:szCs w:val="20"/>
    </w:rPr>
  </w:style>
  <w:style w:type="character" w:styleId="Refdenotaderodap">
    <w:name w:val="footnote reference"/>
    <w:basedOn w:val="Fontepargpadro"/>
    <w:uiPriority w:val="99"/>
    <w:semiHidden/>
    <w:unhideWhenUsed/>
    <w:rsid w:val="00B17688"/>
    <w:rPr>
      <w:vertAlign w:val="superscript"/>
    </w:rPr>
  </w:style>
  <w:style w:type="character" w:styleId="nfase">
    <w:name w:val="Emphasis"/>
    <w:basedOn w:val="Fontepargpadro"/>
    <w:uiPriority w:val="20"/>
    <w:qFormat/>
    <w:rsid w:val="006967B7"/>
    <w:rPr>
      <w:i/>
      <w:i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MenoPendente">
    <w:name w:val="Unresolved Mention"/>
    <w:basedOn w:val="Fontepargpadro"/>
    <w:uiPriority w:val="99"/>
    <w:semiHidden/>
    <w:unhideWhenUsed/>
    <w:rsid w:val="00EC329F"/>
    <w:rPr>
      <w:color w:val="605E5C"/>
      <w:shd w:val="clear" w:color="auto" w:fill="E1DFDD"/>
    </w:rPr>
  </w:style>
  <w:style w:type="paragraph" w:styleId="Corpodetexto">
    <w:name w:val="Body Text"/>
    <w:basedOn w:val="Normal"/>
    <w:link w:val="CorpodetextoChar"/>
    <w:rsid w:val="00B450E9"/>
    <w:pPr>
      <w:suppressAutoHyphens/>
      <w:spacing w:after="0" w:line="240" w:lineRule="auto"/>
      <w:jc w:val="both"/>
    </w:pPr>
    <w:rPr>
      <w:rFonts w:ascii="Times New Roman" w:eastAsia="Times New Roman" w:hAnsi="Times New Roman" w:cs="Times New Roman"/>
      <w:b/>
      <w:sz w:val="24"/>
      <w:szCs w:val="20"/>
      <w:lang w:eastAsia="ar-SA"/>
    </w:rPr>
  </w:style>
  <w:style w:type="character" w:customStyle="1" w:styleId="CorpodetextoChar">
    <w:name w:val="Corpo de texto Char"/>
    <w:basedOn w:val="Fontepargpadro"/>
    <w:link w:val="Corpodetexto"/>
    <w:rsid w:val="00B450E9"/>
    <w:rPr>
      <w:rFonts w:ascii="Times New Roman" w:eastAsia="Times New Roman" w:hAnsi="Times New Roman" w:cs="Times New Roman"/>
      <w:b/>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609218">
      <w:bodyDiv w:val="1"/>
      <w:marLeft w:val="0"/>
      <w:marRight w:val="0"/>
      <w:marTop w:val="0"/>
      <w:marBottom w:val="0"/>
      <w:divBdr>
        <w:top w:val="none" w:sz="0" w:space="0" w:color="auto"/>
        <w:left w:val="none" w:sz="0" w:space="0" w:color="auto"/>
        <w:bottom w:val="none" w:sz="0" w:space="0" w:color="auto"/>
        <w:right w:val="none" w:sz="0" w:space="0" w:color="auto"/>
      </w:divBdr>
    </w:div>
    <w:div w:id="306328649">
      <w:bodyDiv w:val="1"/>
      <w:marLeft w:val="0"/>
      <w:marRight w:val="0"/>
      <w:marTop w:val="0"/>
      <w:marBottom w:val="0"/>
      <w:divBdr>
        <w:top w:val="none" w:sz="0" w:space="0" w:color="auto"/>
        <w:left w:val="none" w:sz="0" w:space="0" w:color="auto"/>
        <w:bottom w:val="none" w:sz="0" w:space="0" w:color="auto"/>
        <w:right w:val="none" w:sz="0" w:space="0" w:color="auto"/>
      </w:divBdr>
    </w:div>
    <w:div w:id="306471682">
      <w:bodyDiv w:val="1"/>
      <w:marLeft w:val="0"/>
      <w:marRight w:val="0"/>
      <w:marTop w:val="0"/>
      <w:marBottom w:val="0"/>
      <w:divBdr>
        <w:top w:val="none" w:sz="0" w:space="0" w:color="auto"/>
        <w:left w:val="none" w:sz="0" w:space="0" w:color="auto"/>
        <w:bottom w:val="none" w:sz="0" w:space="0" w:color="auto"/>
        <w:right w:val="none" w:sz="0" w:space="0" w:color="auto"/>
      </w:divBdr>
    </w:div>
    <w:div w:id="462357423">
      <w:bodyDiv w:val="1"/>
      <w:marLeft w:val="0"/>
      <w:marRight w:val="0"/>
      <w:marTop w:val="0"/>
      <w:marBottom w:val="0"/>
      <w:divBdr>
        <w:top w:val="none" w:sz="0" w:space="0" w:color="auto"/>
        <w:left w:val="none" w:sz="0" w:space="0" w:color="auto"/>
        <w:bottom w:val="none" w:sz="0" w:space="0" w:color="auto"/>
        <w:right w:val="none" w:sz="0" w:space="0" w:color="auto"/>
      </w:divBdr>
    </w:div>
    <w:div w:id="514225079">
      <w:bodyDiv w:val="1"/>
      <w:marLeft w:val="0"/>
      <w:marRight w:val="0"/>
      <w:marTop w:val="0"/>
      <w:marBottom w:val="0"/>
      <w:divBdr>
        <w:top w:val="none" w:sz="0" w:space="0" w:color="auto"/>
        <w:left w:val="none" w:sz="0" w:space="0" w:color="auto"/>
        <w:bottom w:val="none" w:sz="0" w:space="0" w:color="auto"/>
        <w:right w:val="none" w:sz="0" w:space="0" w:color="auto"/>
      </w:divBdr>
    </w:div>
    <w:div w:id="627976782">
      <w:bodyDiv w:val="1"/>
      <w:marLeft w:val="0"/>
      <w:marRight w:val="0"/>
      <w:marTop w:val="0"/>
      <w:marBottom w:val="0"/>
      <w:divBdr>
        <w:top w:val="none" w:sz="0" w:space="0" w:color="auto"/>
        <w:left w:val="none" w:sz="0" w:space="0" w:color="auto"/>
        <w:bottom w:val="none" w:sz="0" w:space="0" w:color="auto"/>
        <w:right w:val="none" w:sz="0" w:space="0" w:color="auto"/>
      </w:divBdr>
    </w:div>
    <w:div w:id="766385834">
      <w:bodyDiv w:val="1"/>
      <w:marLeft w:val="0"/>
      <w:marRight w:val="0"/>
      <w:marTop w:val="0"/>
      <w:marBottom w:val="0"/>
      <w:divBdr>
        <w:top w:val="none" w:sz="0" w:space="0" w:color="auto"/>
        <w:left w:val="none" w:sz="0" w:space="0" w:color="auto"/>
        <w:bottom w:val="none" w:sz="0" w:space="0" w:color="auto"/>
        <w:right w:val="none" w:sz="0" w:space="0" w:color="auto"/>
      </w:divBdr>
      <w:divsChild>
        <w:div w:id="2047295104">
          <w:marLeft w:val="0"/>
          <w:marRight w:val="0"/>
          <w:marTop w:val="0"/>
          <w:marBottom w:val="0"/>
          <w:divBdr>
            <w:top w:val="none" w:sz="0" w:space="0" w:color="auto"/>
            <w:left w:val="none" w:sz="0" w:space="0" w:color="auto"/>
            <w:bottom w:val="none" w:sz="0" w:space="0" w:color="auto"/>
            <w:right w:val="none" w:sz="0" w:space="0" w:color="auto"/>
          </w:divBdr>
        </w:div>
        <w:div w:id="1127629479">
          <w:marLeft w:val="0"/>
          <w:marRight w:val="0"/>
          <w:marTop w:val="0"/>
          <w:marBottom w:val="0"/>
          <w:divBdr>
            <w:top w:val="none" w:sz="0" w:space="0" w:color="auto"/>
            <w:left w:val="none" w:sz="0" w:space="0" w:color="auto"/>
            <w:bottom w:val="none" w:sz="0" w:space="0" w:color="auto"/>
            <w:right w:val="none" w:sz="0" w:space="0" w:color="auto"/>
          </w:divBdr>
        </w:div>
      </w:divsChild>
    </w:div>
    <w:div w:id="835387874">
      <w:bodyDiv w:val="1"/>
      <w:marLeft w:val="0"/>
      <w:marRight w:val="0"/>
      <w:marTop w:val="0"/>
      <w:marBottom w:val="0"/>
      <w:divBdr>
        <w:top w:val="none" w:sz="0" w:space="0" w:color="auto"/>
        <w:left w:val="none" w:sz="0" w:space="0" w:color="auto"/>
        <w:bottom w:val="none" w:sz="0" w:space="0" w:color="auto"/>
        <w:right w:val="none" w:sz="0" w:space="0" w:color="auto"/>
      </w:divBdr>
    </w:div>
    <w:div w:id="968702477">
      <w:bodyDiv w:val="1"/>
      <w:marLeft w:val="0"/>
      <w:marRight w:val="0"/>
      <w:marTop w:val="0"/>
      <w:marBottom w:val="0"/>
      <w:divBdr>
        <w:top w:val="none" w:sz="0" w:space="0" w:color="auto"/>
        <w:left w:val="none" w:sz="0" w:space="0" w:color="auto"/>
        <w:bottom w:val="none" w:sz="0" w:space="0" w:color="auto"/>
        <w:right w:val="none" w:sz="0" w:space="0" w:color="auto"/>
      </w:divBdr>
    </w:div>
    <w:div w:id="1041978096">
      <w:bodyDiv w:val="1"/>
      <w:marLeft w:val="0"/>
      <w:marRight w:val="0"/>
      <w:marTop w:val="0"/>
      <w:marBottom w:val="0"/>
      <w:divBdr>
        <w:top w:val="none" w:sz="0" w:space="0" w:color="auto"/>
        <w:left w:val="none" w:sz="0" w:space="0" w:color="auto"/>
        <w:bottom w:val="none" w:sz="0" w:space="0" w:color="auto"/>
        <w:right w:val="none" w:sz="0" w:space="0" w:color="auto"/>
      </w:divBdr>
    </w:div>
    <w:div w:id="1053121075">
      <w:bodyDiv w:val="1"/>
      <w:marLeft w:val="0"/>
      <w:marRight w:val="0"/>
      <w:marTop w:val="0"/>
      <w:marBottom w:val="0"/>
      <w:divBdr>
        <w:top w:val="none" w:sz="0" w:space="0" w:color="auto"/>
        <w:left w:val="none" w:sz="0" w:space="0" w:color="auto"/>
        <w:bottom w:val="none" w:sz="0" w:space="0" w:color="auto"/>
        <w:right w:val="none" w:sz="0" w:space="0" w:color="auto"/>
      </w:divBdr>
    </w:div>
    <w:div w:id="1156461134">
      <w:bodyDiv w:val="1"/>
      <w:marLeft w:val="0"/>
      <w:marRight w:val="0"/>
      <w:marTop w:val="0"/>
      <w:marBottom w:val="0"/>
      <w:divBdr>
        <w:top w:val="none" w:sz="0" w:space="0" w:color="auto"/>
        <w:left w:val="none" w:sz="0" w:space="0" w:color="auto"/>
        <w:bottom w:val="none" w:sz="0" w:space="0" w:color="auto"/>
        <w:right w:val="none" w:sz="0" w:space="0" w:color="auto"/>
      </w:divBdr>
    </w:div>
    <w:div w:id="1322007906">
      <w:bodyDiv w:val="1"/>
      <w:marLeft w:val="0"/>
      <w:marRight w:val="0"/>
      <w:marTop w:val="0"/>
      <w:marBottom w:val="0"/>
      <w:divBdr>
        <w:top w:val="none" w:sz="0" w:space="0" w:color="auto"/>
        <w:left w:val="none" w:sz="0" w:space="0" w:color="auto"/>
        <w:bottom w:val="none" w:sz="0" w:space="0" w:color="auto"/>
        <w:right w:val="none" w:sz="0" w:space="0" w:color="auto"/>
      </w:divBdr>
    </w:div>
    <w:div w:id="1472941449">
      <w:bodyDiv w:val="1"/>
      <w:marLeft w:val="0"/>
      <w:marRight w:val="0"/>
      <w:marTop w:val="0"/>
      <w:marBottom w:val="0"/>
      <w:divBdr>
        <w:top w:val="none" w:sz="0" w:space="0" w:color="auto"/>
        <w:left w:val="none" w:sz="0" w:space="0" w:color="auto"/>
        <w:bottom w:val="none" w:sz="0" w:space="0" w:color="auto"/>
        <w:right w:val="none" w:sz="0" w:space="0" w:color="auto"/>
      </w:divBdr>
    </w:div>
    <w:div w:id="1639721260">
      <w:bodyDiv w:val="1"/>
      <w:marLeft w:val="0"/>
      <w:marRight w:val="0"/>
      <w:marTop w:val="0"/>
      <w:marBottom w:val="0"/>
      <w:divBdr>
        <w:top w:val="none" w:sz="0" w:space="0" w:color="auto"/>
        <w:left w:val="none" w:sz="0" w:space="0" w:color="auto"/>
        <w:bottom w:val="none" w:sz="0" w:space="0" w:color="auto"/>
        <w:right w:val="none" w:sz="0" w:space="0" w:color="auto"/>
      </w:divBdr>
      <w:divsChild>
        <w:div w:id="1256744121">
          <w:marLeft w:val="0"/>
          <w:marRight w:val="0"/>
          <w:marTop w:val="0"/>
          <w:marBottom w:val="0"/>
          <w:divBdr>
            <w:top w:val="none" w:sz="0" w:space="0" w:color="auto"/>
            <w:left w:val="none" w:sz="0" w:space="0" w:color="auto"/>
            <w:bottom w:val="none" w:sz="0" w:space="0" w:color="auto"/>
            <w:right w:val="none" w:sz="0" w:space="0" w:color="auto"/>
          </w:divBdr>
        </w:div>
        <w:div w:id="763648038">
          <w:marLeft w:val="0"/>
          <w:marRight w:val="0"/>
          <w:marTop w:val="0"/>
          <w:marBottom w:val="225"/>
          <w:divBdr>
            <w:top w:val="none" w:sz="0" w:space="0" w:color="auto"/>
            <w:left w:val="none" w:sz="0" w:space="0" w:color="auto"/>
            <w:bottom w:val="none" w:sz="0" w:space="0" w:color="auto"/>
            <w:right w:val="none" w:sz="0" w:space="0" w:color="auto"/>
          </w:divBdr>
        </w:div>
        <w:div w:id="1256133883">
          <w:marLeft w:val="0"/>
          <w:marRight w:val="0"/>
          <w:marTop w:val="0"/>
          <w:marBottom w:val="0"/>
          <w:divBdr>
            <w:top w:val="none" w:sz="0" w:space="0" w:color="auto"/>
            <w:left w:val="none" w:sz="0" w:space="0" w:color="auto"/>
            <w:bottom w:val="none" w:sz="0" w:space="0" w:color="auto"/>
            <w:right w:val="none" w:sz="0" w:space="0" w:color="auto"/>
          </w:divBdr>
        </w:div>
      </w:divsChild>
    </w:div>
    <w:div w:id="1681934983">
      <w:bodyDiv w:val="1"/>
      <w:marLeft w:val="0"/>
      <w:marRight w:val="0"/>
      <w:marTop w:val="0"/>
      <w:marBottom w:val="0"/>
      <w:divBdr>
        <w:top w:val="none" w:sz="0" w:space="0" w:color="auto"/>
        <w:left w:val="none" w:sz="0" w:space="0" w:color="auto"/>
        <w:bottom w:val="none" w:sz="0" w:space="0" w:color="auto"/>
        <w:right w:val="none" w:sz="0" w:space="0" w:color="auto"/>
      </w:divBdr>
    </w:div>
    <w:div w:id="1685666482">
      <w:bodyDiv w:val="1"/>
      <w:marLeft w:val="0"/>
      <w:marRight w:val="0"/>
      <w:marTop w:val="0"/>
      <w:marBottom w:val="0"/>
      <w:divBdr>
        <w:top w:val="none" w:sz="0" w:space="0" w:color="auto"/>
        <w:left w:val="none" w:sz="0" w:space="0" w:color="auto"/>
        <w:bottom w:val="none" w:sz="0" w:space="0" w:color="auto"/>
        <w:right w:val="none" w:sz="0" w:space="0" w:color="auto"/>
      </w:divBdr>
    </w:div>
    <w:div w:id="1742872116">
      <w:bodyDiv w:val="1"/>
      <w:marLeft w:val="0"/>
      <w:marRight w:val="0"/>
      <w:marTop w:val="0"/>
      <w:marBottom w:val="0"/>
      <w:divBdr>
        <w:top w:val="none" w:sz="0" w:space="0" w:color="auto"/>
        <w:left w:val="none" w:sz="0" w:space="0" w:color="auto"/>
        <w:bottom w:val="none" w:sz="0" w:space="0" w:color="auto"/>
        <w:right w:val="none" w:sz="0" w:space="0" w:color="auto"/>
      </w:divBdr>
    </w:div>
    <w:div w:id="2021807760">
      <w:bodyDiv w:val="1"/>
      <w:marLeft w:val="0"/>
      <w:marRight w:val="0"/>
      <w:marTop w:val="0"/>
      <w:marBottom w:val="0"/>
      <w:divBdr>
        <w:top w:val="none" w:sz="0" w:space="0" w:color="auto"/>
        <w:left w:val="none" w:sz="0" w:space="0" w:color="auto"/>
        <w:bottom w:val="none" w:sz="0" w:space="0" w:color="auto"/>
        <w:right w:val="none" w:sz="0" w:space="0" w:color="auto"/>
      </w:divBdr>
      <w:divsChild>
        <w:div w:id="2044557146">
          <w:marLeft w:val="0"/>
          <w:marRight w:val="0"/>
          <w:marTop w:val="0"/>
          <w:marBottom w:val="0"/>
          <w:divBdr>
            <w:top w:val="none" w:sz="0" w:space="0" w:color="auto"/>
            <w:left w:val="none" w:sz="0" w:space="0" w:color="auto"/>
            <w:bottom w:val="none" w:sz="0" w:space="0" w:color="auto"/>
            <w:right w:val="none" w:sz="0" w:space="0" w:color="auto"/>
          </w:divBdr>
        </w:div>
        <w:div w:id="1964581778">
          <w:marLeft w:val="0"/>
          <w:marRight w:val="0"/>
          <w:marTop w:val="0"/>
          <w:marBottom w:val="225"/>
          <w:divBdr>
            <w:top w:val="none" w:sz="0" w:space="0" w:color="auto"/>
            <w:left w:val="none" w:sz="0" w:space="0" w:color="auto"/>
            <w:bottom w:val="none" w:sz="0" w:space="0" w:color="auto"/>
            <w:right w:val="none" w:sz="0" w:space="0" w:color="auto"/>
          </w:divBdr>
        </w:div>
        <w:div w:id="825786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0+Apm8Lc37eM1gSLwHFF/5CWnEA==">AMUW2mVtCl2vVyc5g54z7cV0mIs1ik1HqDFjBqg8Zovh8VsiLYI9rKKHp26lZvfbrfTfIRAH0W0h8WY3TA/GfaddAXNybxS0xdUhse0E5ArutzYXLNIUytI=</go:docsCustomData>
</go:gDocsCustomXmlDataStorage>
</file>

<file path=customXml/itemProps1.xml><?xml version="1.0" encoding="utf-8"?>
<ds:datastoreItem xmlns:ds="http://schemas.openxmlformats.org/officeDocument/2006/customXml" ds:itemID="{F7D24A3A-E541-4A7F-A9DB-34107785CB7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12</Pages>
  <Words>4005</Words>
  <Characters>21629</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defensor</dc:creator>
  <cp:lastModifiedBy>Paulo Almeida</cp:lastModifiedBy>
  <cp:revision>36</cp:revision>
  <cp:lastPrinted>2025-07-11T23:13:00Z</cp:lastPrinted>
  <dcterms:created xsi:type="dcterms:W3CDTF">2025-09-19T17:16:00Z</dcterms:created>
  <dcterms:modified xsi:type="dcterms:W3CDTF">2025-09-24T16:13:00Z</dcterms:modified>
</cp:coreProperties>
</file>