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4EE3D884" w:rsidR="00472B25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Instauração</w:t>
      </w:r>
    </w:p>
    <w:p w14:paraId="3CC74C3F" w14:textId="1E08E9C1" w:rsidR="00851D40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Tutela Coletiva</w:t>
      </w:r>
    </w:p>
    <w:p w14:paraId="5FE9915D" w14:textId="77777777" w:rsidR="00B100C3" w:rsidRDefault="00B100C3" w:rsidP="00990E1C">
      <w:pPr>
        <w:pStyle w:val="SemEspaamento"/>
        <w:rPr>
          <w:rFonts w:ascii="Times New Roman" w:hAnsi="Times New Roman" w:cs="Times New Roman"/>
        </w:rPr>
      </w:pPr>
    </w:p>
    <w:p w14:paraId="44C4EDB2" w14:textId="0A659CF2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F26005">
        <w:rPr>
          <w:rFonts w:ascii="Times New Roman" w:hAnsi="Times New Roman" w:cs="Times New Roman"/>
          <w:sz w:val="24"/>
          <w:szCs w:val="24"/>
        </w:rPr>
        <w:t>3</w:t>
      </w:r>
      <w:r w:rsidR="00917DB7">
        <w:rPr>
          <w:rFonts w:ascii="Times New Roman" w:hAnsi="Times New Roman" w:cs="Times New Roman"/>
          <w:sz w:val="24"/>
          <w:szCs w:val="24"/>
        </w:rPr>
        <w:t>6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Pr="00086530" w:rsidRDefault="00851D40" w:rsidP="0008653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C9AD6" w14:textId="4BBA4491" w:rsidR="00F26005" w:rsidRDefault="00851D40" w:rsidP="00086530">
      <w:pPr>
        <w:pStyle w:val="SemEspaamento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86530">
        <w:rPr>
          <w:rFonts w:ascii="Times New Roman" w:hAnsi="Times New Roman" w:cs="Times New Roman"/>
          <w:sz w:val="24"/>
          <w:szCs w:val="24"/>
        </w:rPr>
        <w:t>EMENTA:</w:t>
      </w:r>
      <w:r w:rsidR="006967B7" w:rsidRP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F26005">
        <w:rPr>
          <w:rFonts w:ascii="Times New Roman" w:hAnsi="Times New Roman" w:cs="Times New Roman"/>
          <w:sz w:val="24"/>
          <w:szCs w:val="24"/>
        </w:rPr>
        <w:t>Maus-tratos contra idosos em Instituição de Longa Permanência – ILPI. Necessidade de inspeção para averiguação das notícias de fato. Vistoria acompanhada de profissionais técnicos. Apuração das condições estruturais e d</w:t>
      </w:r>
      <w:r w:rsidR="00AA5D4C">
        <w:rPr>
          <w:rFonts w:ascii="Times New Roman" w:hAnsi="Times New Roman" w:cs="Times New Roman"/>
          <w:sz w:val="24"/>
          <w:szCs w:val="24"/>
        </w:rPr>
        <w:t>e</w:t>
      </w:r>
      <w:r w:rsidR="00F26005">
        <w:rPr>
          <w:rFonts w:ascii="Times New Roman" w:hAnsi="Times New Roman" w:cs="Times New Roman"/>
          <w:sz w:val="24"/>
          <w:szCs w:val="24"/>
        </w:rPr>
        <w:t xml:space="preserve"> respeito aos Direitos Humanos de grupo hipervulnerável. </w:t>
      </w:r>
      <w:r w:rsidR="00AA5D4C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Violação </w:t>
      </w:r>
      <w:r w:rsidR="00AA5D4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="00AA5D4C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e Direitos Individuais</w:t>
      </w:r>
      <w:r w:rsidR="00AA5D4C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e Coletivos.</w:t>
      </w:r>
      <w:r w:rsidR="00AA5D4C">
        <w:rPr>
          <w:rFonts w:ascii="Times New Roman" w:hAnsi="Times New Roman" w:cs="Times New Roman"/>
          <w:sz w:val="24"/>
          <w:szCs w:val="24"/>
        </w:rPr>
        <w:t xml:space="preserve"> </w:t>
      </w:r>
      <w:r w:rsidR="00F26005">
        <w:rPr>
          <w:rFonts w:ascii="Times New Roman" w:hAnsi="Times New Roman" w:cs="Times New Roman"/>
          <w:sz w:val="24"/>
          <w:szCs w:val="24"/>
        </w:rPr>
        <w:t xml:space="preserve">Providências para eventual interdição e </w:t>
      </w:r>
      <w:r w:rsidR="00AA5D4C">
        <w:rPr>
          <w:rFonts w:ascii="Times New Roman" w:hAnsi="Times New Roman" w:cs="Times New Roman"/>
          <w:sz w:val="24"/>
          <w:szCs w:val="24"/>
        </w:rPr>
        <w:t xml:space="preserve">imputação de </w:t>
      </w:r>
      <w:r w:rsidR="00F26005">
        <w:rPr>
          <w:rFonts w:ascii="Times New Roman" w:hAnsi="Times New Roman" w:cs="Times New Roman"/>
          <w:sz w:val="24"/>
          <w:szCs w:val="24"/>
        </w:rPr>
        <w:t>responsabilidade</w:t>
      </w:r>
      <w:r w:rsidR="00AA5D4C">
        <w:rPr>
          <w:rFonts w:ascii="Times New Roman" w:hAnsi="Times New Roman" w:cs="Times New Roman"/>
          <w:sz w:val="24"/>
          <w:szCs w:val="24"/>
        </w:rPr>
        <w:t>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094AAEF1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AA5D4C">
        <w:rPr>
          <w:rFonts w:ascii="Times New Roman" w:hAnsi="Times New Roman" w:cs="Times New Roman"/>
          <w:sz w:val="24"/>
          <w:szCs w:val="24"/>
        </w:rPr>
        <w:t>,</w:t>
      </w:r>
      <w:r w:rsidR="00C0013A">
        <w:rPr>
          <w:rFonts w:ascii="Times New Roman" w:hAnsi="Times New Roman" w:cs="Times New Roman"/>
          <w:sz w:val="24"/>
          <w:szCs w:val="24"/>
        </w:rPr>
        <w:t xml:space="preserve"> X</w:t>
      </w:r>
      <w:r w:rsidR="00AA5D4C">
        <w:rPr>
          <w:rFonts w:ascii="Times New Roman" w:hAnsi="Times New Roman" w:cs="Times New Roman"/>
          <w:sz w:val="24"/>
          <w:szCs w:val="24"/>
        </w:rPr>
        <w:t>V</w:t>
      </w:r>
      <w:r w:rsidR="00C0013A">
        <w:rPr>
          <w:rFonts w:ascii="Times New Roman" w:hAnsi="Times New Roman" w:cs="Times New Roman"/>
          <w:sz w:val="24"/>
          <w:szCs w:val="24"/>
        </w:rPr>
        <w:t>I</w:t>
      </w:r>
      <w:r w:rsidR="00AA5D4C">
        <w:rPr>
          <w:rFonts w:ascii="Times New Roman" w:hAnsi="Times New Roman" w:cs="Times New Roman"/>
          <w:sz w:val="24"/>
          <w:szCs w:val="24"/>
        </w:rPr>
        <w:t>I e XVIII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 xml:space="preserve">apurar fatos relacionados com a </w:t>
      </w:r>
      <w:r w:rsidR="00086530">
        <w:rPr>
          <w:rFonts w:ascii="Times New Roman" w:hAnsi="Times New Roman" w:cs="Times New Roman"/>
          <w:sz w:val="24"/>
          <w:szCs w:val="24"/>
        </w:rPr>
        <w:t xml:space="preserve">violação de direitos individuais e coletivos de </w:t>
      </w:r>
      <w:r w:rsidR="00AA5D4C">
        <w:rPr>
          <w:rFonts w:ascii="Times New Roman" w:hAnsi="Times New Roman" w:cs="Times New Roman"/>
          <w:sz w:val="24"/>
          <w:szCs w:val="24"/>
        </w:rPr>
        <w:t>pessoas idosas</w:t>
      </w:r>
      <w:r w:rsid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AA5D4C">
        <w:rPr>
          <w:rFonts w:ascii="Times New Roman" w:hAnsi="Times New Roman" w:cs="Times New Roman"/>
          <w:sz w:val="24"/>
          <w:szCs w:val="24"/>
        </w:rPr>
        <w:t>acolhid</w:t>
      </w:r>
      <w:r w:rsidR="006F1676">
        <w:rPr>
          <w:rFonts w:ascii="Times New Roman" w:hAnsi="Times New Roman" w:cs="Times New Roman"/>
          <w:sz w:val="24"/>
          <w:szCs w:val="24"/>
        </w:rPr>
        <w:t>a</w:t>
      </w:r>
      <w:r w:rsidR="00AA5D4C">
        <w:rPr>
          <w:rFonts w:ascii="Times New Roman" w:hAnsi="Times New Roman" w:cs="Times New Roman"/>
          <w:sz w:val="24"/>
          <w:szCs w:val="24"/>
        </w:rPr>
        <w:t>s em Instituição de Longa Permanência</w:t>
      </w:r>
      <w:r w:rsid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6F1676">
        <w:rPr>
          <w:rFonts w:ascii="Times New Roman" w:hAnsi="Times New Roman" w:cs="Times New Roman"/>
          <w:sz w:val="24"/>
          <w:szCs w:val="24"/>
        </w:rPr>
        <w:t>em Montes Claros.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71BA1" w14:textId="66EA6BCF" w:rsidR="00D8733E" w:rsidRDefault="00E02CCA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Defensoria Pública d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D8733E">
        <w:rPr>
          <w:rFonts w:ascii="Times New Roman" w:hAnsi="Times New Roman" w:cs="Times New Roman"/>
          <w:color w:val="000000"/>
          <w:sz w:val="24"/>
          <w:szCs w:val="24"/>
        </w:rPr>
        <w:t>, por meio dos órgãos de Cooperação da Defensoria Pública Cível da comarca de Montes Claros,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 tomou conhecimento de que</w:t>
      </w:r>
      <w:r w:rsidR="00D8733E">
        <w:rPr>
          <w:rFonts w:ascii="Times New Roman" w:hAnsi="Times New Roman" w:cs="Times New Roman"/>
          <w:color w:val="000000"/>
          <w:sz w:val="24"/>
          <w:szCs w:val="24"/>
        </w:rPr>
        <w:t xml:space="preserve"> pessoas idosas acolhidas na Instituição de Longa Permanência (ILPI), denominada Asilo </w:t>
      </w:r>
      <w:r w:rsidR="00D8733E">
        <w:rPr>
          <w:rFonts w:ascii="Times New Roman" w:hAnsi="Times New Roman" w:cs="Times New Roman"/>
          <w:color w:val="000000"/>
          <w:sz w:val="24"/>
          <w:szCs w:val="24"/>
        </w:rPr>
        <w:lastRenderedPageBreak/>
        <w:t>São Vicente de Paulo – Lar Betânia, vêm sendo submetidas a maus-tratos e violações de sua integridade física e psíquica.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 xml:space="preserve"> Consta que uma profissional que atuava no mencionado estabelecimento informou aos seus supervisores, aos médicos e também à Presidência da Instituição </w:t>
      </w:r>
      <w:r w:rsidR="002D479C">
        <w:rPr>
          <w:rFonts w:ascii="Times New Roman" w:hAnsi="Times New Roman" w:cs="Times New Roman"/>
          <w:color w:val="000000"/>
          <w:sz w:val="24"/>
          <w:szCs w:val="24"/>
        </w:rPr>
        <w:t>a prática de negligência em desfavor dos idosos, as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 xml:space="preserve"> más condições </w:t>
      </w:r>
      <w:r w:rsidR="00712A7A">
        <w:rPr>
          <w:rFonts w:ascii="Times New Roman" w:hAnsi="Times New Roman" w:cs="Times New Roman"/>
          <w:color w:val="000000"/>
          <w:sz w:val="24"/>
          <w:szCs w:val="24"/>
        </w:rPr>
        <w:t>de higiene e saúde às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 xml:space="preserve"> qu</w:t>
      </w:r>
      <w:r w:rsidR="00712A7A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 xml:space="preserve"> vinham sendo submetidos</w:t>
      </w:r>
      <w:r w:rsidR="002D479C">
        <w:rPr>
          <w:rFonts w:ascii="Times New Roman" w:hAnsi="Times New Roman" w:cs="Times New Roman"/>
          <w:color w:val="000000"/>
          <w:sz w:val="24"/>
          <w:szCs w:val="24"/>
        </w:rPr>
        <w:t xml:space="preserve">, bem como vídeos e fotografias que expunham as 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>marcas de agressões praticadas contra</w:t>
      </w:r>
      <w:r w:rsidR="00712A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79C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>pessoas ali acolhidas. Relata que tais informações foram levadas ao conhecimento do</w:t>
      </w:r>
      <w:r w:rsidR="002D479C">
        <w:rPr>
          <w:rFonts w:ascii="Times New Roman" w:hAnsi="Times New Roman" w:cs="Times New Roman"/>
          <w:color w:val="000000"/>
          <w:sz w:val="24"/>
          <w:szCs w:val="24"/>
        </w:rPr>
        <w:t xml:space="preserve"> Conselho Municipal do Idoso, à Prefeitura de Montes Claros, ao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 xml:space="preserve"> Conselho Regional de Enfermagem e</w:t>
      </w:r>
      <w:r w:rsidR="002D479C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D20B08">
        <w:rPr>
          <w:rFonts w:ascii="Times New Roman" w:hAnsi="Times New Roman" w:cs="Times New Roman"/>
          <w:color w:val="000000"/>
          <w:sz w:val="24"/>
          <w:szCs w:val="24"/>
        </w:rPr>
        <w:t xml:space="preserve"> Ministério Público com atuação na defesa do idoso.</w:t>
      </w:r>
    </w:p>
    <w:p w14:paraId="2BE40ACA" w14:textId="77777777" w:rsidR="00D8733E" w:rsidRDefault="00D8733E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 w:rsidRPr="008750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3BB40" w14:textId="4A36DD48" w:rsid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A5D4C">
        <w:rPr>
          <w:rFonts w:ascii="Times New Roman" w:hAnsi="Times New Roman" w:cs="Times New Roman"/>
          <w:color w:val="000000"/>
          <w:sz w:val="24"/>
          <w:szCs w:val="24"/>
        </w:rPr>
        <w:t>Instituição de Longa Permanência de Idosos – Casa São Vicente de Paulo</w:t>
      </w:r>
    </w:p>
    <w:p w14:paraId="35D40160" w14:textId="01847C6D" w:rsidR="002D479C" w:rsidRDefault="002D479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Conselho Municipal do Idoso de Montes Claros</w:t>
      </w:r>
    </w:p>
    <w:p w14:paraId="52A61C31" w14:textId="4C366BE2" w:rsidR="002D479C" w:rsidRPr="008750DB" w:rsidRDefault="002D479C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Município de Montes Claros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55E01C83" w:rsidR="0041228A" w:rsidRPr="0087780D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C174FE">
        <w:rPr>
          <w:rFonts w:ascii="Times New Roman" w:hAnsi="Times New Roman" w:cs="Times New Roman"/>
          <w:sz w:val="24"/>
          <w:szCs w:val="24"/>
        </w:rPr>
        <w:t>que é dever do Estado dar efetividade a</w:t>
      </w:r>
      <w:r w:rsidR="00C80CAB">
        <w:rPr>
          <w:rFonts w:ascii="Times New Roman" w:hAnsi="Times New Roman" w:cs="Times New Roman"/>
          <w:sz w:val="24"/>
          <w:szCs w:val="24"/>
        </w:rPr>
        <w:t>os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princípios constitucionais da </w:t>
      </w:r>
      <w:r w:rsidR="00867538" w:rsidRPr="00C80CAB">
        <w:rPr>
          <w:rFonts w:ascii="Times New Roman" w:hAnsi="Times New Roman" w:cs="Times New Roman"/>
          <w:b/>
          <w:bCs/>
          <w:sz w:val="24"/>
          <w:szCs w:val="24"/>
        </w:rPr>
        <w:t>cidadania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</w:t>
      </w:r>
      <w:r w:rsidR="00492F7F" w:rsidRPr="00867538">
        <w:rPr>
          <w:rFonts w:ascii="Times New Roman" w:hAnsi="Times New Roman" w:cs="Times New Roman"/>
          <w:sz w:val="24"/>
          <w:szCs w:val="24"/>
        </w:rPr>
        <w:t>CRFB/1988</w:t>
      </w:r>
      <w:r w:rsidR="00867538" w:rsidRPr="00C174FE">
        <w:rPr>
          <w:rFonts w:ascii="Times New Roman" w:hAnsi="Times New Roman" w:cs="Times New Roman"/>
          <w:sz w:val="24"/>
          <w:szCs w:val="24"/>
        </w:rPr>
        <w:t>);</w:t>
      </w:r>
    </w:p>
    <w:p w14:paraId="2DAC194C" w14:textId="3E53554C" w:rsidR="00600187" w:rsidRPr="0087780D" w:rsidRDefault="00600187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015D" w14:textId="0F985EE5" w:rsidR="00C80CAB" w:rsidRDefault="00A47607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da família, da sociedade e do Estado </w:t>
      </w:r>
      <w:r w:rsidR="00C80CAB" w:rsidRPr="00C80CAB">
        <w:rPr>
          <w:rFonts w:ascii="Times New Roman" w:hAnsi="Times New Roman" w:cs="Times New Roman"/>
          <w:sz w:val="24"/>
          <w:szCs w:val="24"/>
        </w:rPr>
        <w:t>amparar as pessoas idosas, assegurando sua participação na comunidade, defendendo sua dignidade e bem-estar e garantindo-lhes o direito à vida</w:t>
      </w:r>
      <w:r w:rsidR="00C80CAB">
        <w:rPr>
          <w:rFonts w:ascii="Times New Roman" w:hAnsi="Times New Roman" w:cs="Times New Roman"/>
          <w:sz w:val="24"/>
          <w:szCs w:val="24"/>
        </w:rPr>
        <w:t xml:space="preserve">, colocando-os em programas de amparo executados preferencialmente em seus lares </w:t>
      </w:r>
      <w:r w:rsidR="00C80CAB" w:rsidRPr="00C174FE">
        <w:rPr>
          <w:rFonts w:ascii="Times New Roman" w:hAnsi="Times New Roman" w:cs="Times New Roman"/>
          <w:sz w:val="24"/>
          <w:szCs w:val="24"/>
        </w:rPr>
        <w:t xml:space="preserve">(art. </w:t>
      </w:r>
      <w:r w:rsidR="00C80CAB">
        <w:rPr>
          <w:rFonts w:ascii="Times New Roman" w:hAnsi="Times New Roman" w:cs="Times New Roman"/>
          <w:sz w:val="24"/>
          <w:szCs w:val="24"/>
        </w:rPr>
        <w:t>230</w:t>
      </w:r>
      <w:r w:rsidR="00C80CAB" w:rsidRPr="00C174FE">
        <w:rPr>
          <w:rFonts w:ascii="Times New Roman" w:hAnsi="Times New Roman" w:cs="Times New Roman"/>
          <w:sz w:val="24"/>
          <w:szCs w:val="24"/>
        </w:rPr>
        <w:t xml:space="preserve">, da </w:t>
      </w:r>
      <w:r w:rsidR="00492F7F" w:rsidRPr="00867538">
        <w:rPr>
          <w:rFonts w:ascii="Times New Roman" w:hAnsi="Times New Roman" w:cs="Times New Roman"/>
          <w:sz w:val="24"/>
          <w:szCs w:val="24"/>
        </w:rPr>
        <w:t>CRFB/1988</w:t>
      </w:r>
      <w:r w:rsidR="00C80CAB" w:rsidRPr="00C174FE">
        <w:rPr>
          <w:rFonts w:ascii="Times New Roman" w:hAnsi="Times New Roman" w:cs="Times New Roman"/>
          <w:sz w:val="24"/>
          <w:szCs w:val="24"/>
        </w:rPr>
        <w:t>);</w:t>
      </w:r>
    </w:p>
    <w:p w14:paraId="6B395BCB" w14:textId="77777777" w:rsidR="00C80CAB" w:rsidRDefault="00C80CAB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FD814" w14:textId="71660079" w:rsidR="00A02C86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</w:t>
      </w:r>
      <w:r w:rsidR="00C80CAB">
        <w:rPr>
          <w:rFonts w:ascii="Times New Roman" w:hAnsi="Times New Roman" w:cs="Times New Roman"/>
          <w:bCs/>
          <w:sz w:val="24"/>
          <w:szCs w:val="24"/>
        </w:rPr>
        <w:t>10.741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(Estatuto da </w:t>
      </w:r>
      <w:r w:rsidR="00C80CAB">
        <w:rPr>
          <w:rFonts w:ascii="Times New Roman" w:hAnsi="Times New Roman" w:cs="Times New Roman"/>
          <w:bCs/>
          <w:sz w:val="24"/>
          <w:szCs w:val="24"/>
        </w:rPr>
        <w:t>Pessoa Idosa</w:t>
      </w:r>
      <w:r w:rsidRPr="005F6685">
        <w:rPr>
          <w:rFonts w:ascii="Times New Roman" w:hAnsi="Times New Roman" w:cs="Times New Roman"/>
          <w:bCs/>
          <w:sz w:val="24"/>
          <w:szCs w:val="24"/>
        </w:rPr>
        <w:t>), nos moldes de seu art</w:t>
      </w:r>
      <w:r w:rsidR="00C80CAB">
        <w:rPr>
          <w:rFonts w:ascii="Times New Roman" w:hAnsi="Times New Roman" w:cs="Times New Roman"/>
          <w:bCs/>
          <w:sz w:val="24"/>
          <w:szCs w:val="24"/>
        </w:rPr>
        <w:t>.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3º, estatui a doutrina da proteção integral, atribuindo </w:t>
      </w:r>
      <w:r w:rsidR="00A02C86">
        <w:rPr>
          <w:rFonts w:ascii="Times New Roman" w:hAnsi="Times New Roman" w:cs="Times New Roman"/>
          <w:bCs/>
          <w:sz w:val="24"/>
          <w:szCs w:val="24"/>
        </w:rPr>
        <w:t xml:space="preserve">à pessoa idosa, com absoluta prioridade, 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>a efetivação do direito à vida, à saúde, à alimentação, à educação, à cultura, ao esporte, ao lazer, ao trabalho, à cidadania, à liberdade, à dignidade, ao respeito e à convivência familiar e comunitária</w:t>
      </w:r>
      <w:r w:rsidR="00A02C8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2D09CE" w14:textId="67DE1ABF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754D" w14:textId="14007598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A02C86">
        <w:rPr>
          <w:rFonts w:ascii="Times New Roman" w:hAnsi="Times New Roman" w:cs="Times New Roman"/>
          <w:bCs/>
          <w:sz w:val="24"/>
          <w:szCs w:val="24"/>
        </w:rPr>
        <w:t>enhuma pessoa idosa será objeto de qualquer tipo de negligência, discriminação, violência, crueldade ou opressão, e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A02C86">
        <w:rPr>
          <w:rFonts w:ascii="Times New Roman" w:hAnsi="Times New Roman" w:cs="Times New Roman"/>
          <w:bCs/>
          <w:sz w:val="24"/>
          <w:szCs w:val="24"/>
        </w:rPr>
        <w:t xml:space="preserve"> todo atentado aos seus direitos, por ação ou omissão, será punido na forma da lei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 (conforme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a</w:t>
      </w:r>
      <w:r w:rsidR="00242D3D">
        <w:rPr>
          <w:rFonts w:ascii="Times New Roman" w:hAnsi="Times New Roman" w:cs="Times New Roman"/>
          <w:bCs/>
          <w:sz w:val="24"/>
          <w:szCs w:val="24"/>
        </w:rPr>
        <w:t>rt. 4º, da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r w:rsidR="00242D3D">
        <w:rPr>
          <w:rFonts w:ascii="Times New Roman" w:hAnsi="Times New Roman" w:cs="Times New Roman"/>
          <w:bCs/>
          <w:sz w:val="24"/>
          <w:szCs w:val="24"/>
        </w:rPr>
        <w:t>10.741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Estatuto da </w:t>
      </w:r>
      <w:r w:rsidR="00242D3D">
        <w:rPr>
          <w:rFonts w:ascii="Times New Roman" w:hAnsi="Times New Roman" w:cs="Times New Roman"/>
          <w:bCs/>
          <w:sz w:val="24"/>
          <w:szCs w:val="24"/>
        </w:rPr>
        <w:t>Pessoa Idosa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)</w:t>
      </w:r>
      <w:r w:rsidR="00242D3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9856EC" w14:textId="77777777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B4F56A" w14:textId="1DA2159E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cabe a todo cidadão o dever de comunicar à autoridade competente qualquer forma de violação de que tenha conhecimento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 (segundo art. 6º, da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242D3D">
        <w:rPr>
          <w:rFonts w:ascii="Times New Roman" w:hAnsi="Times New Roman" w:cs="Times New Roman"/>
          <w:bCs/>
          <w:sz w:val="24"/>
          <w:szCs w:val="24"/>
        </w:rPr>
        <w:t>10.741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Estatuto da </w:t>
      </w:r>
      <w:r w:rsidR="00242D3D">
        <w:rPr>
          <w:rFonts w:ascii="Times New Roman" w:hAnsi="Times New Roman" w:cs="Times New Roman"/>
          <w:bCs/>
          <w:sz w:val="24"/>
          <w:szCs w:val="24"/>
        </w:rPr>
        <w:t>Pessoa Idosa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)</w:t>
      </w:r>
      <w:r w:rsidR="00242D3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43CA58" w14:textId="3BB67CD1" w:rsidR="003B7AD0" w:rsidRDefault="003B7AD0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F3883" w14:textId="0C9E0BD1" w:rsidR="003B7AD0" w:rsidRDefault="003B7AD0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</w:t>
      </w:r>
      <w:r>
        <w:rPr>
          <w:rFonts w:ascii="Times New Roman" w:hAnsi="Times New Roman" w:cs="Times New Roman"/>
          <w:bCs/>
          <w:sz w:val="24"/>
          <w:szCs w:val="24"/>
        </w:rPr>
        <w:t>10.741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(Estatuto da </w:t>
      </w:r>
      <w:r>
        <w:rPr>
          <w:rFonts w:ascii="Times New Roman" w:hAnsi="Times New Roman" w:cs="Times New Roman"/>
          <w:bCs/>
          <w:sz w:val="24"/>
          <w:szCs w:val="24"/>
        </w:rPr>
        <w:t>Pessoa Idosa</w:t>
      </w:r>
      <w:r w:rsidRPr="005F6685">
        <w:rPr>
          <w:rFonts w:ascii="Times New Roman" w:hAnsi="Times New Roman" w:cs="Times New Roman"/>
          <w:bCs/>
          <w:sz w:val="24"/>
          <w:szCs w:val="24"/>
        </w:rPr>
        <w:t>)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 estabelece,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em seu a</w:t>
      </w:r>
      <w:r w:rsidRPr="003B7AD0">
        <w:rPr>
          <w:rFonts w:ascii="Times New Roman" w:hAnsi="Times New Roman" w:cs="Times New Roman"/>
          <w:bCs/>
          <w:sz w:val="24"/>
          <w:szCs w:val="24"/>
        </w:rPr>
        <w:t>rt. 35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B7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7AD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B7AD0">
        <w:rPr>
          <w:rFonts w:ascii="Times New Roman" w:hAnsi="Times New Roman" w:cs="Times New Roman"/>
          <w:bCs/>
          <w:sz w:val="24"/>
          <w:szCs w:val="24"/>
        </w:rPr>
        <w:t>odas as entidades de longa permanência, ou casa-lar, são obrigadas a firmar contrato de prestação de serviços com a pessoa idosa abrigada</w:t>
      </w:r>
      <w:r w:rsidR="00242D3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6380574" w14:textId="4E35F347" w:rsidR="004400A7" w:rsidRDefault="004400A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2D738" w14:textId="5F50C2CC" w:rsidR="004400A7" w:rsidRDefault="004400A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</w:t>
      </w:r>
      <w:r>
        <w:rPr>
          <w:rFonts w:ascii="Times New Roman" w:hAnsi="Times New Roman" w:cs="Times New Roman"/>
          <w:bCs/>
          <w:sz w:val="24"/>
          <w:szCs w:val="24"/>
        </w:rPr>
        <w:t>10.741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(Estatuto da </w:t>
      </w:r>
      <w:r>
        <w:rPr>
          <w:rFonts w:ascii="Times New Roman" w:hAnsi="Times New Roman" w:cs="Times New Roman"/>
          <w:bCs/>
          <w:sz w:val="24"/>
          <w:szCs w:val="24"/>
        </w:rPr>
        <w:t>Pessoa Idosa</w:t>
      </w:r>
      <w:r w:rsidRPr="005F668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 em seu a</w:t>
      </w:r>
      <w:r w:rsidRPr="003B7AD0">
        <w:rPr>
          <w:rFonts w:ascii="Times New Roman" w:hAnsi="Times New Roman" w:cs="Times New Roman"/>
          <w:bCs/>
          <w:sz w:val="24"/>
          <w:szCs w:val="24"/>
        </w:rPr>
        <w:t xml:space="preserve">rt. </w:t>
      </w:r>
      <w:r>
        <w:rPr>
          <w:rFonts w:ascii="Times New Roman" w:hAnsi="Times New Roman" w:cs="Times New Roman"/>
          <w:bCs/>
          <w:sz w:val="24"/>
          <w:szCs w:val="24"/>
        </w:rPr>
        <w:t>19,</w:t>
      </w:r>
      <w:r w:rsidRPr="003B7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400A7">
        <w:rPr>
          <w:rFonts w:ascii="Times New Roman" w:hAnsi="Times New Roman" w:cs="Times New Roman"/>
          <w:sz w:val="24"/>
          <w:szCs w:val="24"/>
        </w:rPr>
        <w:t xml:space="preserve">dispõe </w:t>
      </w:r>
      <w:r>
        <w:rPr>
          <w:rFonts w:ascii="Times New Roman" w:hAnsi="Times New Roman" w:cs="Times New Roman"/>
          <w:sz w:val="24"/>
          <w:szCs w:val="24"/>
        </w:rPr>
        <w:t>que o</w:t>
      </w:r>
      <w:r w:rsidRPr="004400A7">
        <w:rPr>
          <w:rFonts w:ascii="Times New Roman" w:hAnsi="Times New Roman" w:cs="Times New Roman"/>
          <w:sz w:val="24"/>
          <w:szCs w:val="24"/>
        </w:rPr>
        <w:t xml:space="preserve">s casos de suspeita ou confirmação de violência praticada contra pessoas idosas serão objeto de notificação compulsória pelos serviços de saúde públicos e privados à autoridade sanitária, bem como serão obrigatoriamente comunicados </w:t>
      </w:r>
      <w:r>
        <w:rPr>
          <w:rFonts w:ascii="Times New Roman" w:hAnsi="Times New Roman" w:cs="Times New Roman"/>
          <w:sz w:val="24"/>
          <w:szCs w:val="24"/>
        </w:rPr>
        <w:t>os órgãos como a autoridade policial, o Ministério Público e o Conselho Municipal da Pessoa Idosa;</w:t>
      </w:r>
    </w:p>
    <w:p w14:paraId="3939B7D5" w14:textId="764E2ADC" w:rsidR="00242D3D" w:rsidRDefault="00242D3D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F3AE0" w14:textId="335E4DC9" w:rsidR="00242D3D" w:rsidRDefault="004400A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00A7">
        <w:rPr>
          <w:rFonts w:ascii="Times New Roman" w:hAnsi="Times New Roman" w:cs="Times New Roman"/>
          <w:bCs/>
          <w:sz w:val="24"/>
          <w:szCs w:val="24"/>
        </w:rPr>
        <w:t>s instituições que abrigarem pessoas idosas são obrigadas a manter padrões de habitação compatíveis com as necessidades delas, bem como provê-las com alimentação regular e higiene indispensáveis às normas sanitárias e com estas condizentes, sob as penas da lei</w:t>
      </w:r>
      <w:r>
        <w:rPr>
          <w:rFonts w:ascii="Times New Roman" w:hAnsi="Times New Roman" w:cs="Times New Roman"/>
          <w:bCs/>
          <w:sz w:val="24"/>
          <w:szCs w:val="24"/>
        </w:rPr>
        <w:t xml:space="preserve"> (nos moldes do art. 37, § 3º, da 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>
        <w:rPr>
          <w:rFonts w:ascii="Times New Roman" w:hAnsi="Times New Roman" w:cs="Times New Roman"/>
          <w:bCs/>
          <w:sz w:val="24"/>
          <w:szCs w:val="24"/>
        </w:rPr>
        <w:t>10.741);</w:t>
      </w:r>
    </w:p>
    <w:p w14:paraId="65775548" w14:textId="77777777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F5A63" w14:textId="6401BF27" w:rsidR="004400A7" w:rsidRDefault="00492F7F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conteúdo da Resolução n. 502/2021, da Diretoria Colegiada da ANVISA, que </w:t>
      </w:r>
      <w:r w:rsidRPr="00492F7F">
        <w:rPr>
          <w:rFonts w:ascii="Times New Roman" w:hAnsi="Times New Roman" w:cs="Times New Roman"/>
          <w:bCs/>
          <w:sz w:val="24"/>
          <w:szCs w:val="24"/>
        </w:rPr>
        <w:t>estabelece o padrão mínimo de funcionamento das Instituições de Longa Permanência para Idosos</w:t>
      </w:r>
      <w:r>
        <w:rPr>
          <w:rFonts w:ascii="Times New Roman" w:hAnsi="Times New Roman" w:cs="Times New Roman"/>
          <w:bCs/>
          <w:sz w:val="24"/>
          <w:szCs w:val="24"/>
        </w:rPr>
        <w:t xml:space="preserve"> (ILPI), normativa </w:t>
      </w:r>
      <w:r w:rsidRPr="00492F7F">
        <w:rPr>
          <w:rFonts w:ascii="Times New Roman" w:hAnsi="Times New Roman" w:cs="Times New Roman"/>
          <w:bCs/>
          <w:sz w:val="24"/>
          <w:szCs w:val="24"/>
        </w:rPr>
        <w:t xml:space="preserve">aplicável a </w:t>
      </w:r>
      <w:r>
        <w:rPr>
          <w:rFonts w:ascii="Times New Roman" w:hAnsi="Times New Roman" w:cs="Times New Roman"/>
          <w:bCs/>
          <w:sz w:val="24"/>
          <w:szCs w:val="24"/>
        </w:rPr>
        <w:t>todo estabelecimento</w:t>
      </w:r>
      <w:r w:rsidRPr="00492F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dessa natureza</w:t>
      </w:r>
      <w:r w:rsidRPr="00492F7F">
        <w:rPr>
          <w:rFonts w:ascii="Times New Roman" w:hAnsi="Times New Roman" w:cs="Times New Roman"/>
          <w:bCs/>
          <w:sz w:val="24"/>
          <w:szCs w:val="24"/>
        </w:rPr>
        <w:t>, governamental ou não governamental, destinada à moradia coletiva de pessoas com idade igual ou superior a 60 (sessenta) anos, com ou sem suporte familiar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20F298A" w14:textId="0AB95BF7" w:rsidR="001A61C6" w:rsidRDefault="001A61C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B0125" w14:textId="7E640407" w:rsidR="00492F7F" w:rsidRDefault="00492F7F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</w:t>
      </w:r>
      <w:r w:rsidR="007213DA">
        <w:rPr>
          <w:rFonts w:ascii="Times New Roman" w:hAnsi="Times New Roman" w:cs="Times New Roman"/>
          <w:bCs/>
          <w:sz w:val="24"/>
          <w:szCs w:val="24"/>
        </w:rPr>
        <w:t>, conforme Resolução n. 502/2021, da Diretoria Colegiada da ANVISA,</w:t>
      </w:r>
      <w:r>
        <w:rPr>
          <w:rFonts w:ascii="Times New Roman" w:hAnsi="Times New Roman" w:cs="Times New Roman"/>
          <w:bCs/>
          <w:sz w:val="24"/>
          <w:szCs w:val="24"/>
        </w:rPr>
        <w:t xml:space="preserve"> são requisitos para o funcionamento da Instituição de Longa Permanência para Idosos</w:t>
      </w:r>
      <w:r w:rsidR="001A61C6">
        <w:rPr>
          <w:rFonts w:ascii="Times New Roman" w:hAnsi="Times New Roman" w:cs="Times New Roman"/>
          <w:bCs/>
          <w:sz w:val="24"/>
          <w:szCs w:val="24"/>
        </w:rPr>
        <w:t>, dentre outros</w:t>
      </w:r>
      <w:r w:rsidR="007213DA">
        <w:rPr>
          <w:rFonts w:ascii="Times New Roman" w:hAnsi="Times New Roman" w:cs="Times New Roman"/>
          <w:bCs/>
          <w:sz w:val="24"/>
          <w:szCs w:val="24"/>
        </w:rPr>
        <w:t xml:space="preserve">: a) </w:t>
      </w:r>
      <w:r w:rsidR="001A61C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213DA">
        <w:rPr>
          <w:rFonts w:ascii="Times New Roman" w:hAnsi="Times New Roman" w:cs="Times New Roman"/>
          <w:bCs/>
          <w:sz w:val="24"/>
          <w:szCs w:val="24"/>
        </w:rPr>
        <w:t xml:space="preserve">posse de alvará sanitário expedido por órgão sanitário competente - art. 8º; b) </w:t>
      </w:r>
      <w:r w:rsidR="001A61C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213DA">
        <w:rPr>
          <w:rFonts w:ascii="Times New Roman" w:hAnsi="Times New Roman" w:cs="Times New Roman"/>
          <w:bCs/>
          <w:sz w:val="24"/>
          <w:szCs w:val="24"/>
        </w:rPr>
        <w:t xml:space="preserve">constituição por Estatuto registrado, apresentando Registro de entidade social e Regimento Interno - art. 9º; c) </w:t>
      </w:r>
      <w:r w:rsidR="001A61C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213DA">
        <w:rPr>
          <w:rFonts w:ascii="Times New Roman" w:hAnsi="Times New Roman" w:cs="Times New Roman"/>
          <w:bCs/>
          <w:sz w:val="24"/>
          <w:szCs w:val="24"/>
        </w:rPr>
        <w:t xml:space="preserve">existência de Responsável Técnico pelo serviço - art. 10; d) </w:t>
      </w:r>
      <w:r w:rsidR="001A61C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213DA">
        <w:rPr>
          <w:rFonts w:ascii="Times New Roman" w:hAnsi="Times New Roman" w:cs="Times New Roman"/>
          <w:bCs/>
          <w:sz w:val="24"/>
          <w:szCs w:val="24"/>
        </w:rPr>
        <w:t>existência de quadro de recursos humanos mínimos - art. 16;</w:t>
      </w:r>
    </w:p>
    <w:p w14:paraId="5DFB84CA" w14:textId="15222A27" w:rsidR="00FD4268" w:rsidRDefault="00FD426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784C2B" w14:textId="411E0378" w:rsidR="00FD4268" w:rsidRDefault="00FD4268" w:rsidP="00FD4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as </w:t>
      </w:r>
      <w:r w:rsidRPr="001A61C6">
        <w:rPr>
          <w:rFonts w:ascii="Times New Roman" w:hAnsi="Times New Roman" w:cs="Times New Roman"/>
          <w:bCs/>
          <w:sz w:val="24"/>
          <w:szCs w:val="24"/>
        </w:rPr>
        <w:t xml:space="preserve">entidades de atendimento que descumprirem determinações </w:t>
      </w:r>
      <w:r>
        <w:rPr>
          <w:rFonts w:ascii="Times New Roman" w:hAnsi="Times New Roman" w:cs="Times New Roman"/>
          <w:bCs/>
          <w:sz w:val="24"/>
          <w:szCs w:val="24"/>
        </w:rPr>
        <w:t xml:space="preserve">do Estatuto da Pessoa Idosa </w:t>
      </w:r>
      <w:r w:rsidRPr="001A61C6">
        <w:rPr>
          <w:rFonts w:ascii="Times New Roman" w:hAnsi="Times New Roman" w:cs="Times New Roman"/>
          <w:bCs/>
          <w:sz w:val="24"/>
          <w:szCs w:val="24"/>
        </w:rPr>
        <w:t>ficarão sujeitas</w:t>
      </w:r>
      <w:r>
        <w:rPr>
          <w:rFonts w:ascii="Times New Roman" w:hAnsi="Times New Roman" w:cs="Times New Roman"/>
          <w:bCs/>
          <w:sz w:val="24"/>
          <w:szCs w:val="24"/>
        </w:rPr>
        <w:t xml:space="preserve"> a medidas </w:t>
      </w:r>
      <w:r w:rsidR="00595F4B">
        <w:rPr>
          <w:rFonts w:ascii="Times New Roman" w:hAnsi="Times New Roman" w:cs="Times New Roman"/>
          <w:bCs/>
          <w:sz w:val="24"/>
          <w:szCs w:val="24"/>
        </w:rPr>
        <w:t>que vão desde advertência até o</w:t>
      </w:r>
      <w:r>
        <w:rPr>
          <w:rFonts w:ascii="Times New Roman" w:hAnsi="Times New Roman" w:cs="Times New Roman"/>
          <w:bCs/>
          <w:sz w:val="24"/>
          <w:szCs w:val="24"/>
        </w:rPr>
        <w:t xml:space="preserve"> fechamento, interdição ou suspensão do programa</w:t>
      </w:r>
      <w:r w:rsidRPr="001A61C6">
        <w:rPr>
          <w:rFonts w:ascii="Times New Roman" w:hAnsi="Times New Roman" w:cs="Times New Roman"/>
          <w:bCs/>
          <w:sz w:val="24"/>
          <w:szCs w:val="24"/>
        </w:rPr>
        <w:t>, sem prejuízo da responsabilidade civil e criminal de seus dirigentes ou prepostos</w:t>
      </w:r>
      <w:r>
        <w:rPr>
          <w:rFonts w:ascii="Times New Roman" w:hAnsi="Times New Roman" w:cs="Times New Roman"/>
          <w:bCs/>
          <w:sz w:val="24"/>
          <w:szCs w:val="24"/>
        </w:rPr>
        <w:t xml:space="preserve"> (nos termos do art. 55, I</w:t>
      </w:r>
      <w:r w:rsidR="00595F4B">
        <w:rPr>
          <w:rFonts w:ascii="Times New Roman" w:hAnsi="Times New Roman" w:cs="Times New Roman"/>
          <w:bCs/>
          <w:sz w:val="24"/>
          <w:szCs w:val="24"/>
        </w:rPr>
        <w:t xml:space="preserve"> e II, </w:t>
      </w:r>
      <w:r>
        <w:rPr>
          <w:rFonts w:ascii="Times New Roman" w:hAnsi="Times New Roman" w:cs="Times New Roman"/>
          <w:bCs/>
          <w:sz w:val="24"/>
          <w:szCs w:val="24"/>
        </w:rPr>
        <w:t>da Lei 10.741);</w:t>
      </w:r>
    </w:p>
    <w:p w14:paraId="5EC35E25" w14:textId="07FF9626" w:rsidR="00FD4268" w:rsidRDefault="00FD4268" w:rsidP="00FD4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FE813" w14:textId="664E5BA4" w:rsidR="00FD4268" w:rsidRDefault="00FD4268" w:rsidP="00FD4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à pessoa idosa é assegurada a prioridade na tramitação de processos e procedimentos em que figure como parte, o que inclui o atendimento preferencial junto à Defensoria Pública (art. 71, § 3º, da Lei 10.741);</w:t>
      </w:r>
    </w:p>
    <w:p w14:paraId="5AB7DBCE" w14:textId="77777777" w:rsidR="00FD4268" w:rsidRDefault="00FD426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D8073" w14:textId="3E967B5D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F7624F">
        <w:rPr>
          <w:rFonts w:ascii="Times New Roman" w:hAnsi="Times New Roman" w:cs="Times New Roman"/>
          <w:sz w:val="24"/>
          <w:szCs w:val="24"/>
        </w:rPr>
        <w:t>que é</w:t>
      </w:r>
      <w:r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</w:t>
      </w:r>
      <w:r w:rsidR="001A61C6" w:rsidRPr="001A61C6">
        <w:rPr>
          <w:rFonts w:ascii="Times New Roman" w:hAnsi="Times New Roman" w:cs="Times New Roman"/>
          <w:sz w:val="24"/>
          <w:szCs w:val="24"/>
        </w:rPr>
        <w:t>exercer a defesa dos interesses individuais e coletivos do idoso, e de outros grupos sociais vulneráveis que mereçam proteção especial do Estado</w:t>
      </w:r>
      <w:r w:rsidR="001A61C6">
        <w:rPr>
          <w:rFonts w:ascii="Times New Roman" w:hAnsi="Times New Roman" w:cs="Times New Roman"/>
          <w:sz w:val="24"/>
          <w:szCs w:val="24"/>
        </w:rPr>
        <w:t>, conforme</w:t>
      </w:r>
      <w:r w:rsidRPr="00F7624F">
        <w:rPr>
          <w:rFonts w:ascii="Times New Roman" w:hAnsi="Times New Roman" w:cs="Times New Roman"/>
          <w:sz w:val="24"/>
          <w:szCs w:val="24"/>
        </w:rPr>
        <w:t xml:space="preserve"> art</w:t>
      </w:r>
      <w:r w:rsidR="001A61C6">
        <w:rPr>
          <w:rFonts w:ascii="Times New Roman" w:hAnsi="Times New Roman" w:cs="Times New Roman"/>
          <w:sz w:val="24"/>
          <w:szCs w:val="24"/>
        </w:rPr>
        <w:t>.</w:t>
      </w:r>
      <w:r w:rsidRPr="00F7624F">
        <w:rPr>
          <w:rFonts w:ascii="Times New Roman" w:hAnsi="Times New Roman" w:cs="Times New Roman"/>
          <w:sz w:val="24"/>
          <w:szCs w:val="24"/>
        </w:rPr>
        <w:t xml:space="preserve"> 4º, XVII,</w:t>
      </w:r>
      <w:r w:rsidR="00F7624F">
        <w:rPr>
          <w:rFonts w:ascii="Times New Roman" w:hAnsi="Times New Roman" w:cs="Times New Roman"/>
          <w:sz w:val="24"/>
          <w:szCs w:val="24"/>
        </w:rPr>
        <w:t xml:space="preserve"> da</w:t>
      </w:r>
      <w:r w:rsidRPr="00F7624F">
        <w:rPr>
          <w:rFonts w:ascii="Times New Roman" w:hAnsi="Times New Roman" w:cs="Times New Roman"/>
          <w:sz w:val="24"/>
          <w:szCs w:val="24"/>
        </w:rPr>
        <w:t xml:space="preserve"> L</w:t>
      </w:r>
      <w:r w:rsidR="002D479C">
        <w:rPr>
          <w:rFonts w:ascii="Times New Roman" w:hAnsi="Times New Roman" w:cs="Times New Roman"/>
          <w:sz w:val="24"/>
          <w:szCs w:val="24"/>
        </w:rPr>
        <w:t>C</w:t>
      </w:r>
      <w:r w:rsidRPr="00F7624F">
        <w:rPr>
          <w:rFonts w:ascii="Times New Roman" w:hAnsi="Times New Roman" w:cs="Times New Roman"/>
          <w:sz w:val="24"/>
          <w:szCs w:val="24"/>
        </w:rPr>
        <w:t xml:space="preserve"> n.º 80/1994;</w:t>
      </w:r>
    </w:p>
    <w:p w14:paraId="62B9AA79" w14:textId="77777777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86C9C" w14:textId="1D7C43D8" w:rsidR="00072BBE" w:rsidRPr="00072BBE" w:rsidRDefault="00B17688" w:rsidP="00072B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>o Tribunal de Justiça de Minas Gerais possui jurisprudência formada sobre ações coletivas para interdição de Instituições de Longa Permanência para Idosos, nos seguintes moldes “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>EMENTA: AGRAVO DE INSTRUMENTO - AÇÃO ORDINÁRIA - PRELIMINAR DE NÃO CONHECIMENTO DO RECURSO - AUSÊNCIA DE DIALETICIDADE - INOCORRÊNCIA - APURAÇÃO DE IRREGULARIDADES EM INSTITUIÇÃO DE LONGA PERMANÊNCIA DE IDOSO - ARTIGO 230 DA CONSTITUIÇÃO DA REPÚBLICA - ARTIGOS 48, 49 E 50 DO ESTATUTO DO IDOSO - BEM-ESTAR E CONDIÇÕES DIGNAS - ADOÇÃO DE MEDIDAS NECESSÁRIAS - DECISÃO REFORMADA.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 xml:space="preserve">(...)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>3. As ILPI - Instituições de Longa Permanência para Idosos - devem observar as obrigações previstas nos artigos 48 a 50 do Estatuto do Idoso, ao longo de seu funcionamento, mantendo atualizados os respectivos alvarás e relatórios pessoais de seus institucionalizados, sob pena de aplicação de penalidades que vão desde advertência, suspensão das atividades até a proibição de atendimento a idosos, nos termos do art. 55, II, e parágrafos da Lei 10.741/03.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>V.V. EMENTA: AGRAVO DE INSTRUMENTO - INTERDIÇÃO DE ESTABELECIMENTO - INSTITUIÇÃO DE ABRIGO A IDOSOS - IRREGULARIDADES CONSTATADAS EM INSPEÇÃO SANITÁRIA - NECESSIDADE DE APROVAÇÃO DE PROJETO ARQUITETÔNICO - PRAZO EXÍGUO - RISCO IMINENTE AOS IDOSOS PELA CONTINUIDADE NA INSTITUIÇÃO NÃO DEMONSTRADO - IMEDIATA INTERDIÇÃO - PERIGO DE DANO REVERSO - NECESSIDADE DE SE AGUARDAR A COMPLETA INSTRUÇÃO DO FEITO - RECURSO DESPROVIDO.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>(...)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>2 - A concessão de prazo para apresentação de projeto arquitetônico do estabelecimento deve observar os princípios da razoabilidade e proporcionalidade, o que não restou demonstrado nos autos, tendo em vista a exiguidade do prazo assinalado pela administração municipal.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 xml:space="preserve">3 - Não havendo elementos nos autos que indiquem o risco iminente aos idosos abrigados, a imediata interdição da instituição de abrigamento incorre em dano reverso, notadamente a se considerar o período pandêmico que dificulta a acomodação dos idosos em outro estabelecimento ou que sejam reinseridos em seus respectivos núcleos familiares,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lastRenderedPageBreak/>
        <w:t>devendo ser mantida a r. decisão que afastou a imediata interdição, ao menos até a completa instrução do feito.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>4 - Recurso desprovido.  (TJMG -Agravo de Instrumento-Cv 1.0000.20.454095-9/001, Relator(a): Des.(a) Afrânio Vilela,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728" w:rsidRPr="00B64728">
        <w:rPr>
          <w:rFonts w:ascii="Times New Roman" w:hAnsi="Times New Roman" w:cs="Times New Roman"/>
          <w:color w:val="000000"/>
          <w:sz w:val="24"/>
          <w:szCs w:val="24"/>
        </w:rPr>
        <w:t>6ª Câmara Cível, julgamento em 22/06/2021, publicação da súmula em 28/06/2021)</w:t>
      </w:r>
      <w:r w:rsidR="00B6472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 xml:space="preserve"> e “</w:t>
      </w:r>
      <w:r w:rsidR="00072BBE" w:rsidRPr="00072BBE">
        <w:rPr>
          <w:rFonts w:ascii="Times New Roman" w:hAnsi="Times New Roman" w:cs="Times New Roman"/>
          <w:color w:val="000000"/>
          <w:sz w:val="24"/>
          <w:szCs w:val="24"/>
        </w:rPr>
        <w:t>EMENTA: AGRAVO DE INSTRUMENTO - AÇÃO CIVIL PÚBLICA - LIMINAR - INSTITUIÇÃO DE LONGA PERMANÊNCIA PARA IDOSOS - AUSÊNCIA DE AUTO DE VISTORIA DO CORPO DOS BOMBEIROS - ALVARÁ SANITÁRIO EXPIRADO - INTERDIÇÃO PARCIAL - POSSIBILIDADE.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BBE" w:rsidRPr="00072BBE">
        <w:rPr>
          <w:rFonts w:ascii="Times New Roman" w:hAnsi="Times New Roman" w:cs="Times New Roman"/>
          <w:color w:val="000000"/>
          <w:sz w:val="24"/>
          <w:szCs w:val="24"/>
        </w:rPr>
        <w:t>1 - A Constituição da República garante aos idosos proteção especial, cumprindo ao Estado e à sociedade privada garantir-lhes o direito à dignidade, ao bem-estar e à vida.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BBE" w:rsidRPr="00072BBE">
        <w:rPr>
          <w:rFonts w:ascii="Times New Roman" w:hAnsi="Times New Roman" w:cs="Times New Roman"/>
          <w:color w:val="000000"/>
          <w:sz w:val="24"/>
          <w:szCs w:val="24"/>
        </w:rPr>
        <w:t>2 - A condição precária de instituição de longa permanência para idosos, que funciona ao arrepio das normas sanitárias e sem Auto de Vistoria do Corpo dos Bombeiros - AVCB, autoriza a adoção de medidas que visam à preservação da saúde e da vida dos idosos e dos funcionários que frequentam o local.  (TJMG -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BBE" w:rsidRPr="00072BBE">
        <w:rPr>
          <w:rFonts w:ascii="Times New Roman" w:hAnsi="Times New Roman" w:cs="Times New Roman"/>
          <w:color w:val="000000"/>
          <w:sz w:val="24"/>
          <w:szCs w:val="24"/>
        </w:rPr>
        <w:t>Agravo de Instrumento-C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072BBE" w:rsidRPr="00072BBE">
        <w:rPr>
          <w:rFonts w:ascii="Times New Roman" w:hAnsi="Times New Roman" w:cs="Times New Roman"/>
          <w:color w:val="000000"/>
          <w:sz w:val="24"/>
          <w:szCs w:val="24"/>
        </w:rPr>
        <w:t> 1.0000.20.459585-4/001, Relator(a): Des.(a) Carlos Henrique Perpétuo Braga, 19ª Câmara Cível, julgamento em 24/09/2020, publicação da súmula em 29/09/2020)</w:t>
      </w:r>
      <w:r w:rsidR="00072BBE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2BE5B87E" w14:textId="66EB73F6" w:rsidR="00B64728" w:rsidRPr="00B64728" w:rsidRDefault="00B64728" w:rsidP="00B647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C0A57" w14:textId="597DC854" w:rsidR="00851D40" w:rsidRPr="006F1676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lastRenderedPageBreak/>
        <w:t>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exercer a defesa dos interesses individuais e coletivos do idoso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e de outros grupos sociais vulneráveis que mereçam proteção especial do Estado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atuar na preservação e reparação dos direitos de pessoas vítimas de tortura, discriminação ou qualquer outra forma de opressão ou violência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</w:t>
      </w:r>
      <w:r w:rsidR="00D26F6C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X, </w:t>
      </w:r>
      <w:r w:rsidR="006F1676">
        <w:rPr>
          <w:rFonts w:ascii="Times New Roman" w:hAnsi="Times New Roman" w:cs="Times New Roman"/>
          <w:sz w:val="24"/>
          <w:szCs w:val="24"/>
        </w:rPr>
        <w:t xml:space="preserve">XI,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da </w:t>
      </w:r>
      <w:r w:rsidR="006F1676">
        <w:rPr>
          <w:rFonts w:ascii="Times New Roman" w:hAnsi="Times New Roman" w:cs="Times New Roman"/>
          <w:sz w:val="24"/>
          <w:szCs w:val="24"/>
        </w:rPr>
        <w:t>LC</w:t>
      </w:r>
      <w:r w:rsidRPr="00A83A7E">
        <w:rPr>
          <w:rFonts w:ascii="Times New Roman" w:hAnsi="Times New Roman" w:cs="Times New Roman"/>
          <w:sz w:val="24"/>
          <w:szCs w:val="24"/>
        </w:rPr>
        <w:t xml:space="preserve">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C9E8" w14:textId="52CDCF93" w:rsidR="006F1676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para</w:t>
      </w:r>
      <w:r w:rsidR="006F1676">
        <w:rPr>
          <w:rFonts w:ascii="Times New Roman" w:hAnsi="Times New Roman" w:cs="Times New Roman"/>
          <w:sz w:val="24"/>
          <w:szCs w:val="24"/>
        </w:rPr>
        <w:t xml:space="preserve"> </w:t>
      </w:r>
      <w:r w:rsidR="008750DB">
        <w:rPr>
          <w:rFonts w:ascii="Times New Roman" w:hAnsi="Times New Roman" w:cs="Times New Roman"/>
          <w:sz w:val="24"/>
          <w:szCs w:val="24"/>
        </w:rPr>
        <w:t xml:space="preserve">apurar os fatos </w:t>
      </w:r>
      <w:r w:rsidR="00391A67">
        <w:rPr>
          <w:rFonts w:ascii="Times New Roman" w:hAnsi="Times New Roman" w:cs="Times New Roman"/>
          <w:sz w:val="24"/>
          <w:szCs w:val="24"/>
        </w:rPr>
        <w:t>comunicados</w:t>
      </w:r>
      <w:r w:rsidR="008750DB">
        <w:rPr>
          <w:rFonts w:ascii="Times New Roman" w:hAnsi="Times New Roman" w:cs="Times New Roman"/>
          <w:sz w:val="24"/>
          <w:szCs w:val="24"/>
        </w:rPr>
        <w:t xml:space="preserve"> </w:t>
      </w:r>
      <w:r w:rsidR="00391A67">
        <w:rPr>
          <w:rFonts w:ascii="Times New Roman" w:hAnsi="Times New Roman" w:cs="Times New Roman"/>
          <w:sz w:val="24"/>
          <w:szCs w:val="24"/>
        </w:rPr>
        <w:t>à Defensoria Pública</w:t>
      </w:r>
      <w:r w:rsidR="006F1676">
        <w:rPr>
          <w:rFonts w:ascii="Times New Roman" w:hAnsi="Times New Roman" w:cs="Times New Roman"/>
          <w:sz w:val="24"/>
          <w:szCs w:val="24"/>
        </w:rPr>
        <w:t>, relacionados com a violação de direitos individuais e coletivos de pessoas idosas acolhidas em Instituição de Longa Permanência da comarca de Montes Claros.</w:t>
      </w:r>
    </w:p>
    <w:p w14:paraId="6B3373B3" w14:textId="77777777" w:rsidR="006F1676" w:rsidRDefault="006F1676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63E53F17" w:rsidR="00286D89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6CB23FAD" w14:textId="77777777" w:rsidR="002A21D8" w:rsidRPr="00C913B4" w:rsidRDefault="002A21D8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6F85F27D" w:rsidR="00985D01" w:rsidRDefault="00985D01" w:rsidP="00B100C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juntada de </w:t>
      </w:r>
      <w:r w:rsidR="006F1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fotografias, vídeos, </w:t>
      </w:r>
      <w:r w:rsidR="001815F0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 e demais conteúdos</w:t>
      </w:r>
      <w:r w:rsidR="00180F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demonstrem a ocorrência de maus tratos no Asilo São Vicente de Paulo – Lar Betânia</w:t>
      </w:r>
      <w:r w:rsidR="001815F0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E5EBF37" w14:textId="00B49F66" w:rsidR="00E04865" w:rsidRDefault="00E04865" w:rsidP="00E04865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C02A57" w14:textId="411ED35B" w:rsidR="00180F0E" w:rsidRDefault="00180F0E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coleta de termos de declarações, especialmente da enfermeira denunciante, para </w:t>
      </w:r>
      <w:r w:rsidRPr="00180F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se tenha conhecimento mais aprofundado do caso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a identificação dos idosos vitimados pelos maus-tratos e conhecimento de seus relatos;</w:t>
      </w:r>
    </w:p>
    <w:p w14:paraId="78251764" w14:textId="77777777" w:rsidR="00180F0E" w:rsidRPr="00180F0E" w:rsidRDefault="00180F0E" w:rsidP="00180F0E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361B285" w14:textId="42B760B2" w:rsidR="00180F0E" w:rsidRDefault="00180F0E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realização de inspeção na unidade de acolhimento de idosos, acompanhada de profissionais de saúde externos, para elaboração de provas técnicas;</w:t>
      </w:r>
    </w:p>
    <w:p w14:paraId="3B2E898B" w14:textId="77777777" w:rsidR="00180F0E" w:rsidRPr="00180F0E" w:rsidRDefault="00180F0E" w:rsidP="00180F0E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33997F" w14:textId="77FA75A9" w:rsidR="00180F0E" w:rsidRPr="00180F0E" w:rsidRDefault="00180F0E" w:rsidP="00180F0E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expedição de ofício de requisição à Direção do Asilo São Vicente de Paulo – Lar Betânia, para que forneça informações e documentos listados como obrigatórios na Resolução n. 502/2021, da Diretoria Colegiada da ANVISA;</w:t>
      </w:r>
    </w:p>
    <w:p w14:paraId="460A62DF" w14:textId="77777777" w:rsidR="00180F0E" w:rsidRPr="00180F0E" w:rsidRDefault="00180F0E" w:rsidP="00180F0E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C002BF" w14:textId="03E9C151" w:rsidR="00B100C3" w:rsidRDefault="00B100C3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expedição de ofício </w:t>
      </w:r>
      <w:r w:rsidR="00180F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requisição a órgãos públicos como Secretaria Municipal de Saúde (Vigilância Sanitária) e Secretaria Municipal de Assistência Social, para que noticiem sobre inspeções realizadas no local e forneçam laudos </w:t>
      </w:r>
      <w:r w:rsidR="002D479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respectivos</w:t>
      </w:r>
      <w:r w:rsidR="00180F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6B490928" w14:textId="77777777" w:rsidR="002A21D8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8FC648" w14:textId="5D681DED" w:rsidR="00B100C3" w:rsidRDefault="00180F0E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expedição de ofício de requisição de informações ou realização de reunião com a Delegacia Regional de Polícia Civil e Comandante da Polícia Militar, para que informem sobre procedimentos investigatórios sobre os fatos.</w:t>
      </w:r>
    </w:p>
    <w:p w14:paraId="49DBCAE5" w14:textId="77777777" w:rsidR="002A21D8" w:rsidRPr="002A21D8" w:rsidRDefault="002A21D8" w:rsidP="002A21D8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176584" w14:textId="19FA5F65" w:rsidR="008972C0" w:rsidRPr="002A21D8" w:rsidRDefault="008972C0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elaboração de instrumentos extrajudiciais (ofícios, recomendações, informes técnico-jurídicos e outros) para atuação junto aos órgãos públicos </w:t>
      </w:r>
      <w:r w:rsidR="00180F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privados </w:t>
      </w:r>
      <w:r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responsáveis pela </w:t>
      </w:r>
      <w:r w:rsidR="00180F0E">
        <w:rPr>
          <w:rFonts w:ascii="Times New Roman" w:eastAsia="Times New Roman" w:hAnsi="Times New Roman" w:cs="Times New Roman"/>
          <w:sz w:val="24"/>
          <w:szCs w:val="24"/>
          <w:lang w:eastAsia="pt-BR"/>
        </w:rPr>
        <w:t>preservação dos direitos dos idosos</w:t>
      </w:r>
      <w:r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046AC3F" w14:textId="77777777" w:rsidR="002A21D8" w:rsidRPr="00B100C3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CE37DA" w14:textId="77777777" w:rsidR="00E04865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6280E5F8" w14:textId="77777777" w:rsidR="00E04865" w:rsidRDefault="00E04865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4D417060" w:rsidR="00286D89" w:rsidRPr="00C913B4" w:rsidRDefault="00286D89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46994966" w14:textId="77777777" w:rsidR="00E04865" w:rsidRDefault="00E04865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3D9FADE7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B33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 de novembro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941B0A" w14:textId="219D9EF9" w:rsidR="00B100C3" w:rsidRDefault="00B100C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F803C4" w14:textId="7FA0A668" w:rsidR="00B334EB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1CD140" w14:textId="77777777" w:rsidR="00B3370A" w:rsidRPr="00180F0E" w:rsidRDefault="00B3370A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180F0E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43D05E29" w14:textId="77777777" w:rsidR="008972C0" w:rsidRPr="00180F0E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Coordenadoria Estratégica em Tutela Coletiva</w:t>
      </w:r>
    </w:p>
    <w:p w14:paraId="18F22249" w14:textId="77777777" w:rsidR="00B3370A" w:rsidRDefault="008972C0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48C4830E" w14:textId="560856AE" w:rsidR="008972C0" w:rsidRDefault="008972C0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Madep 883</w:t>
      </w:r>
    </w:p>
    <w:p w14:paraId="1A696ECE" w14:textId="59CCA190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1A5EEB27" w14:textId="59946CA0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2E1810F1" w14:textId="77777777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530FF97E" w14:textId="26E34B5D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78CEFA89" w14:textId="376E4C1C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704163BB" w14:textId="1F765A89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B3370A">
        <w:rPr>
          <w:rFonts w:ascii="Times New Roman" w:hAnsi="Times New Roman" w:cs="Times New Roman"/>
          <w:b/>
          <w:smallCaps/>
          <w:color w:val="000000"/>
        </w:rPr>
        <w:t>Saulo Duette Prates Gomes Pereira</w:t>
      </w:r>
    </w:p>
    <w:p w14:paraId="1A7BF604" w14:textId="1D2E0D8E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0ACAD27C" w14:textId="7DA60B4C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Madep</w:t>
      </w:r>
    </w:p>
    <w:p w14:paraId="0FACA96C" w14:textId="259DC598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30B210DE" w14:textId="6C4EA6B8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205ED163" w14:textId="77777777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710AB016" w14:textId="42122411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4CFE858E" w14:textId="5B566935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0F0FAB66" w14:textId="77777777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B3370A">
        <w:rPr>
          <w:rFonts w:ascii="Times New Roman" w:hAnsi="Times New Roman" w:cs="Times New Roman"/>
          <w:b/>
          <w:smallCaps/>
          <w:color w:val="000000"/>
        </w:rPr>
        <w:t>Wesley Soares Caldeira</w:t>
      </w:r>
    </w:p>
    <w:p w14:paraId="7E6F16C9" w14:textId="6DAC88F9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5C0684D4" w14:textId="577141BD" w:rsidR="00B3370A" w:rsidRPr="00180F0E" w:rsidRDefault="00B3370A" w:rsidP="00D20B0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Madep</w:t>
      </w:r>
    </w:p>
    <w:sectPr w:rsidR="00B3370A" w:rsidRPr="00180F0E" w:rsidSect="00C80CAB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A3D7" w14:textId="77777777" w:rsidR="00D62F60" w:rsidRDefault="00D62F60">
      <w:pPr>
        <w:spacing w:after="0" w:line="240" w:lineRule="auto"/>
      </w:pPr>
      <w:r>
        <w:separator/>
      </w:r>
    </w:p>
  </w:endnote>
  <w:endnote w:type="continuationSeparator" w:id="0">
    <w:p w14:paraId="3768B6CE" w14:textId="77777777" w:rsidR="00D62F60" w:rsidRDefault="00D6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B1">
          <w:rPr>
            <w:noProof/>
          </w:rPr>
          <w:t>6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9F4E" w14:textId="77777777" w:rsidR="00D62F60" w:rsidRDefault="00D62F60">
      <w:pPr>
        <w:spacing w:after="0" w:line="240" w:lineRule="auto"/>
      </w:pPr>
      <w:r>
        <w:separator/>
      </w:r>
    </w:p>
  </w:footnote>
  <w:footnote w:type="continuationSeparator" w:id="0">
    <w:p w14:paraId="1F767446" w14:textId="77777777" w:rsidR="00D62F60" w:rsidRDefault="00D6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9BE"/>
    <w:multiLevelType w:val="hybridMultilevel"/>
    <w:tmpl w:val="6AD02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BE"/>
    <w:multiLevelType w:val="hybridMultilevel"/>
    <w:tmpl w:val="6DACF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6546">
    <w:abstractNumId w:val="5"/>
  </w:num>
  <w:num w:numId="2" w16cid:durableId="1784422265">
    <w:abstractNumId w:val="4"/>
  </w:num>
  <w:num w:numId="3" w16cid:durableId="327177444">
    <w:abstractNumId w:val="2"/>
  </w:num>
  <w:num w:numId="4" w16cid:durableId="910651918">
    <w:abstractNumId w:val="1"/>
  </w:num>
  <w:num w:numId="5" w16cid:durableId="1491487488">
    <w:abstractNumId w:val="3"/>
  </w:num>
  <w:num w:numId="6" w16cid:durableId="13392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42106"/>
    <w:rsid w:val="000454D8"/>
    <w:rsid w:val="0006102D"/>
    <w:rsid w:val="000724D4"/>
    <w:rsid w:val="00072BBE"/>
    <w:rsid w:val="00075CDF"/>
    <w:rsid w:val="00086530"/>
    <w:rsid w:val="000952DE"/>
    <w:rsid w:val="000955EA"/>
    <w:rsid w:val="000B4B29"/>
    <w:rsid w:val="000C4B17"/>
    <w:rsid w:val="000E567D"/>
    <w:rsid w:val="00112A98"/>
    <w:rsid w:val="00112D8E"/>
    <w:rsid w:val="0012603A"/>
    <w:rsid w:val="00137DD2"/>
    <w:rsid w:val="00145975"/>
    <w:rsid w:val="00180F0E"/>
    <w:rsid w:val="001815F0"/>
    <w:rsid w:val="00190E41"/>
    <w:rsid w:val="00196CEE"/>
    <w:rsid w:val="001A61C6"/>
    <w:rsid w:val="001B417C"/>
    <w:rsid w:val="001C1F47"/>
    <w:rsid w:val="001C7557"/>
    <w:rsid w:val="001D2406"/>
    <w:rsid w:val="001E68A4"/>
    <w:rsid w:val="00214642"/>
    <w:rsid w:val="00217C6A"/>
    <w:rsid w:val="00232B0C"/>
    <w:rsid w:val="00234A07"/>
    <w:rsid w:val="00235232"/>
    <w:rsid w:val="00242D3D"/>
    <w:rsid w:val="0024476E"/>
    <w:rsid w:val="00254886"/>
    <w:rsid w:val="0025773A"/>
    <w:rsid w:val="00260C31"/>
    <w:rsid w:val="00284F28"/>
    <w:rsid w:val="00286D89"/>
    <w:rsid w:val="002925FE"/>
    <w:rsid w:val="00292BCE"/>
    <w:rsid w:val="00295B9F"/>
    <w:rsid w:val="002A21D8"/>
    <w:rsid w:val="002D479C"/>
    <w:rsid w:val="002D58C5"/>
    <w:rsid w:val="00322C6F"/>
    <w:rsid w:val="00330811"/>
    <w:rsid w:val="00347B72"/>
    <w:rsid w:val="003518F3"/>
    <w:rsid w:val="00366A7D"/>
    <w:rsid w:val="00366E15"/>
    <w:rsid w:val="00391A67"/>
    <w:rsid w:val="00397673"/>
    <w:rsid w:val="003B7AD0"/>
    <w:rsid w:val="003D4BF5"/>
    <w:rsid w:val="003F02B8"/>
    <w:rsid w:val="003F4D52"/>
    <w:rsid w:val="0041228A"/>
    <w:rsid w:val="004213AB"/>
    <w:rsid w:val="00425DAC"/>
    <w:rsid w:val="004400A7"/>
    <w:rsid w:val="00445B73"/>
    <w:rsid w:val="0045448B"/>
    <w:rsid w:val="004565CA"/>
    <w:rsid w:val="00457646"/>
    <w:rsid w:val="00466DD7"/>
    <w:rsid w:val="00472B25"/>
    <w:rsid w:val="004741B3"/>
    <w:rsid w:val="00492F7F"/>
    <w:rsid w:val="0049385D"/>
    <w:rsid w:val="00507870"/>
    <w:rsid w:val="005147C4"/>
    <w:rsid w:val="0055089B"/>
    <w:rsid w:val="00556DA9"/>
    <w:rsid w:val="00570E7F"/>
    <w:rsid w:val="005754CD"/>
    <w:rsid w:val="005944EE"/>
    <w:rsid w:val="00595F4B"/>
    <w:rsid w:val="005966F9"/>
    <w:rsid w:val="005D2519"/>
    <w:rsid w:val="005E4EA2"/>
    <w:rsid w:val="005F68F8"/>
    <w:rsid w:val="00600187"/>
    <w:rsid w:val="00600666"/>
    <w:rsid w:val="00634617"/>
    <w:rsid w:val="00654F46"/>
    <w:rsid w:val="00657086"/>
    <w:rsid w:val="006648B2"/>
    <w:rsid w:val="0068299F"/>
    <w:rsid w:val="00690EA8"/>
    <w:rsid w:val="00693BE4"/>
    <w:rsid w:val="00694B0F"/>
    <w:rsid w:val="00695E32"/>
    <w:rsid w:val="006967B7"/>
    <w:rsid w:val="006B224C"/>
    <w:rsid w:val="006D5EE4"/>
    <w:rsid w:val="006E03B1"/>
    <w:rsid w:val="006E6471"/>
    <w:rsid w:val="006F1676"/>
    <w:rsid w:val="0071083D"/>
    <w:rsid w:val="00712A7A"/>
    <w:rsid w:val="00713EB2"/>
    <w:rsid w:val="0071495A"/>
    <w:rsid w:val="007213DA"/>
    <w:rsid w:val="00730C1D"/>
    <w:rsid w:val="00737D48"/>
    <w:rsid w:val="00760763"/>
    <w:rsid w:val="00765E20"/>
    <w:rsid w:val="00784391"/>
    <w:rsid w:val="00786534"/>
    <w:rsid w:val="007B090D"/>
    <w:rsid w:val="007B44BC"/>
    <w:rsid w:val="007C4CC9"/>
    <w:rsid w:val="007D7E4A"/>
    <w:rsid w:val="007E1087"/>
    <w:rsid w:val="00804E2D"/>
    <w:rsid w:val="008236C9"/>
    <w:rsid w:val="00836A50"/>
    <w:rsid w:val="00850DF5"/>
    <w:rsid w:val="00851D40"/>
    <w:rsid w:val="0086013D"/>
    <w:rsid w:val="00867538"/>
    <w:rsid w:val="008750DB"/>
    <w:rsid w:val="0087780D"/>
    <w:rsid w:val="00883A61"/>
    <w:rsid w:val="00896E0C"/>
    <w:rsid w:val="008972C0"/>
    <w:rsid w:val="008A09B3"/>
    <w:rsid w:val="008B6341"/>
    <w:rsid w:val="008C4785"/>
    <w:rsid w:val="008C6E1A"/>
    <w:rsid w:val="008D2516"/>
    <w:rsid w:val="008F0909"/>
    <w:rsid w:val="008F705E"/>
    <w:rsid w:val="00917DB7"/>
    <w:rsid w:val="00940D67"/>
    <w:rsid w:val="0094437C"/>
    <w:rsid w:val="00980FDB"/>
    <w:rsid w:val="00985D01"/>
    <w:rsid w:val="0098681C"/>
    <w:rsid w:val="00990E1C"/>
    <w:rsid w:val="009965BF"/>
    <w:rsid w:val="009A5509"/>
    <w:rsid w:val="009B552A"/>
    <w:rsid w:val="009C084E"/>
    <w:rsid w:val="009C6D1D"/>
    <w:rsid w:val="009D03AA"/>
    <w:rsid w:val="009E3C0A"/>
    <w:rsid w:val="009E6D45"/>
    <w:rsid w:val="009F4BBA"/>
    <w:rsid w:val="009F7907"/>
    <w:rsid w:val="00A02C86"/>
    <w:rsid w:val="00A22EB5"/>
    <w:rsid w:val="00A34861"/>
    <w:rsid w:val="00A47607"/>
    <w:rsid w:val="00A55A60"/>
    <w:rsid w:val="00A64661"/>
    <w:rsid w:val="00A744AF"/>
    <w:rsid w:val="00A8122A"/>
    <w:rsid w:val="00A83A7E"/>
    <w:rsid w:val="00A9311C"/>
    <w:rsid w:val="00AA5D4C"/>
    <w:rsid w:val="00AB0A07"/>
    <w:rsid w:val="00AB3257"/>
    <w:rsid w:val="00AC45B8"/>
    <w:rsid w:val="00AD11BA"/>
    <w:rsid w:val="00AD657B"/>
    <w:rsid w:val="00B066D7"/>
    <w:rsid w:val="00B100C3"/>
    <w:rsid w:val="00B11715"/>
    <w:rsid w:val="00B11827"/>
    <w:rsid w:val="00B17688"/>
    <w:rsid w:val="00B203A1"/>
    <w:rsid w:val="00B31C6E"/>
    <w:rsid w:val="00B334EB"/>
    <w:rsid w:val="00B3370A"/>
    <w:rsid w:val="00B36135"/>
    <w:rsid w:val="00B64728"/>
    <w:rsid w:val="00B66809"/>
    <w:rsid w:val="00B70B5C"/>
    <w:rsid w:val="00B76E90"/>
    <w:rsid w:val="00B95FE5"/>
    <w:rsid w:val="00BA04A6"/>
    <w:rsid w:val="00BA1D3D"/>
    <w:rsid w:val="00BA2084"/>
    <w:rsid w:val="00BA2B6D"/>
    <w:rsid w:val="00BB4365"/>
    <w:rsid w:val="00BB6DDD"/>
    <w:rsid w:val="00BC290B"/>
    <w:rsid w:val="00BE7E7F"/>
    <w:rsid w:val="00C0013A"/>
    <w:rsid w:val="00C03720"/>
    <w:rsid w:val="00C07857"/>
    <w:rsid w:val="00C174FE"/>
    <w:rsid w:val="00C23C7E"/>
    <w:rsid w:val="00C30D6E"/>
    <w:rsid w:val="00C33776"/>
    <w:rsid w:val="00C43BEB"/>
    <w:rsid w:val="00C4668F"/>
    <w:rsid w:val="00C47054"/>
    <w:rsid w:val="00C65783"/>
    <w:rsid w:val="00C66548"/>
    <w:rsid w:val="00C71A03"/>
    <w:rsid w:val="00C73AD6"/>
    <w:rsid w:val="00C76B8D"/>
    <w:rsid w:val="00C80CAB"/>
    <w:rsid w:val="00C913B4"/>
    <w:rsid w:val="00CD0A74"/>
    <w:rsid w:val="00CD4848"/>
    <w:rsid w:val="00CE5FA2"/>
    <w:rsid w:val="00CE6048"/>
    <w:rsid w:val="00CE7924"/>
    <w:rsid w:val="00CF776C"/>
    <w:rsid w:val="00D057F2"/>
    <w:rsid w:val="00D10E12"/>
    <w:rsid w:val="00D1399F"/>
    <w:rsid w:val="00D20B08"/>
    <w:rsid w:val="00D26AAA"/>
    <w:rsid w:val="00D26F6C"/>
    <w:rsid w:val="00D3250F"/>
    <w:rsid w:val="00D56C36"/>
    <w:rsid w:val="00D62F60"/>
    <w:rsid w:val="00D8733E"/>
    <w:rsid w:val="00D94E3B"/>
    <w:rsid w:val="00DA1C85"/>
    <w:rsid w:val="00DC1CBC"/>
    <w:rsid w:val="00DC271C"/>
    <w:rsid w:val="00DD24C7"/>
    <w:rsid w:val="00DD35B4"/>
    <w:rsid w:val="00DE1BC6"/>
    <w:rsid w:val="00DE7E72"/>
    <w:rsid w:val="00E02CCA"/>
    <w:rsid w:val="00E04865"/>
    <w:rsid w:val="00E16C9B"/>
    <w:rsid w:val="00E24E93"/>
    <w:rsid w:val="00E313CF"/>
    <w:rsid w:val="00E4163D"/>
    <w:rsid w:val="00E502F8"/>
    <w:rsid w:val="00E70936"/>
    <w:rsid w:val="00E711DB"/>
    <w:rsid w:val="00EB3F35"/>
    <w:rsid w:val="00EC7C26"/>
    <w:rsid w:val="00EE42D1"/>
    <w:rsid w:val="00EE5540"/>
    <w:rsid w:val="00F26005"/>
    <w:rsid w:val="00F34E7B"/>
    <w:rsid w:val="00F359D6"/>
    <w:rsid w:val="00F37E21"/>
    <w:rsid w:val="00F4244E"/>
    <w:rsid w:val="00F4624A"/>
    <w:rsid w:val="00F6205E"/>
    <w:rsid w:val="00F64423"/>
    <w:rsid w:val="00F7624F"/>
    <w:rsid w:val="00F80D7D"/>
    <w:rsid w:val="00F829CF"/>
    <w:rsid w:val="00F8405D"/>
    <w:rsid w:val="00F9520B"/>
    <w:rsid w:val="00FA1E11"/>
    <w:rsid w:val="00FA6B7B"/>
    <w:rsid w:val="00FC170C"/>
    <w:rsid w:val="00FD4268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6D95EBDB-D9B7-49A7-9459-B33943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78850-063E-4DB0-BF43-B09349DF6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AF524-7A31-42AF-A711-7363F370335F}"/>
</file>

<file path=customXml/itemProps3.xml><?xml version="1.0" encoding="utf-8"?>
<ds:datastoreItem xmlns:ds="http://schemas.openxmlformats.org/officeDocument/2006/customXml" ds:itemID="{C5F1B6FB-9C83-4C04-829F-B784663EA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2253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28</cp:revision>
  <cp:lastPrinted>2022-08-08T18:38:00Z</cp:lastPrinted>
  <dcterms:created xsi:type="dcterms:W3CDTF">2022-08-08T18:20:00Z</dcterms:created>
  <dcterms:modified xsi:type="dcterms:W3CDTF">2022-11-21T15:59:00Z</dcterms:modified>
</cp:coreProperties>
</file>