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media/image1.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/>
          <w:smallCap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mallCaps/>
          <w:sz w:val="24"/>
          <w:szCs w:val="24"/>
          <w:u w:val="single"/>
        </w:rPr>
        <w:t>Portaria de Instauração</w:t>
      </w:r>
    </w:p>
    <w:p>
      <w:pPr>
        <w:pStyle w:val="Normal"/>
        <w:spacing w:before="0" w:after="120"/>
        <w:jc w:val="center"/>
        <w:rPr>
          <w:rFonts w:ascii="Times New Roman" w:hAnsi="Times New Roman" w:eastAsia="Times New Roman" w:cs="Times New Roman"/>
          <w:b/>
          <w:b/>
          <w:smallCap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mallCaps/>
          <w:sz w:val="24"/>
          <w:szCs w:val="24"/>
        </w:rPr>
        <w:t>Procedimento Administrativo de Tutela Coletiva</w:t>
      </w:r>
    </w:p>
    <w:p>
      <w:pPr>
        <w:pStyle w:val="Normal"/>
        <w:pBdr/>
        <w:spacing w:before="0" w:after="80"/>
        <w:jc w:val="both"/>
        <w:rPr>
          <w:rFonts w:ascii="Times New Roman" w:hAnsi="Times New Roman" w:eastAsia="Times New Roman" w:cs="Times New Roman"/>
          <w:b/>
          <w:b/>
          <w:sz w:val="23"/>
          <w:szCs w:val="23"/>
        </w:rPr>
      </w:pPr>
      <w:r>
        <w:rPr>
          <w:rFonts w:eastAsia="Times New Roman" w:cs="Times New Roman" w:ascii="Times New Roman" w:hAnsi="Times New Roman"/>
          <w:b/>
          <w:sz w:val="23"/>
          <w:szCs w:val="23"/>
        </w:rPr>
      </w:r>
    </w:p>
    <w:p>
      <w:pPr>
        <w:pStyle w:val="Normal"/>
        <w:pBdr/>
        <w:spacing w:before="0" w:after="8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PTAC nº 144/2023</w:t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pBdr/>
        <w:spacing w:before="0" w:after="80"/>
        <w:ind w:left="1985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EMENTA: Notas devolutivas ou notas de exigência sucessivas, emitidas por Cartório de Registro de Imóveis quanto a um mesmo pedido registral. Ausência de correlação ou dependência das notas devolutivas subsequentes em relação às anteriores. Possibilidade de emissão de uma única nota, contendo todas as exigências de adequação. Obstáculos a realização e à celeridade de inventários. Prejuízos aos assistidos da Defensoria Pública. Burocratização do procedimento. Princípio da duração razoável do processo administrativo.</w:t>
      </w:r>
    </w:p>
    <w:p>
      <w:pPr>
        <w:pStyle w:val="Normal"/>
        <w:pBdr/>
        <w:spacing w:before="0" w:after="80"/>
        <w:ind w:left="1985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pBdr/>
        <w:spacing w:before="0" w:after="80"/>
        <w:ind w:left="1985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Defensoria Pública do Estado de Minas Gerais</w:t>
      </w:r>
      <w:r>
        <w:rPr>
          <w:rFonts w:eastAsia="Times New Roman" w:cs="Times New Roman" w:ascii="Times New Roman" w:hAnsi="Times New Roman"/>
          <w:sz w:val="24"/>
          <w:szCs w:val="24"/>
        </w:rPr>
        <w:t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órgãos de execução signatários, instaura o presente Procedimento Administrativo de Tutela Coletiva (PTAC), a fim de apurar os fatos e adotar providências judiciais e extrajudiciais cabíveis, voltadas à desburocratização dos procedimentos necessários à realização de inventários e respectivos registros junto aos Cartórios de Imóveis, especialmente quanto à inadequada emissão de notas devolutivas (ou notas de exigências) sucessivas quanto a um mesmo pedido registral, conforme síntese e considerações a seguir expostas.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SÍNTESE DOS FATOS: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Chegou ao conhecimento da Coordenadoria Estratégica de Tutela Coletiva que o 2º Ofício de Registro de Imóveis da comarca de Uberaba vem apresentado notas devolutivas (ou notas de exigências) sucessivas, em relação a um mesmo pedido registral. Notou-se que as novas exigências de adequação ou óbices apresentados pelo Cartório, por meio das notas devolutivas subsequentes, não guardam qualquer correlação ou dependência com as exigências anteriores. Observou-se que a expedição de diversas notas devolutivas sucessivas referentes a um mesmo pedido prejudica os assistidos da Defensoria Pública e geram desnecessária burocratização dos procedimentos, haja vista que o interessado não consegue ter ciência e resolver, a um só tempo, todas as providências necessárias à definitiva realização do registro. Pontuou-se, ainda, que os repetidos obstáculos impostos causam morosidade no procedimento de inventário. Ademais, sabe-se que os delegatários dos serviços cartorários detêm, de antemão, o conhecimento jurídico necessário sobre os requisitos para a prática dos atos a seu encargo, possuindo condições técnicas para relacionar, de uma só vez, diante o título apresentado, todas as exigências a serem cumpridas para a prática do ato requerido.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ENVOLVIDOS</w:t>
      </w:r>
      <w:r>
        <w:rPr>
          <w:rFonts w:eastAsia="Times New Roman"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 Corregedoria-Geral do Tribunal de Justiça de Minas Gerais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 Cartórios de Registros de Imóveis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 Defensorias Públicas Cíveis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4. Defensorias Públicas das Famílias e Sucessões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5. Câmaras de Estudos Cíveis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6. Câmaras de Estudos das Famílias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CONSIDERANDO </w:t>
      </w:r>
      <w:r>
        <w:rPr>
          <w:rFonts w:eastAsia="Times New Roman" w:cs="Times New Roman" w:ascii="Times New Roman" w:hAnsi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LXXIV, do art. 5º,  da Constituição Federal e do art. 1º, da Lei Complementar Federal nº 80/1994;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CONSIDERANDO </w:t>
      </w:r>
      <w:r>
        <w:rPr>
          <w:rFonts w:eastAsia="Times New Roman" w:cs="Times New Roman" w:ascii="Times New Roman" w:hAnsi="Times New Roman"/>
          <w:sz w:val="24"/>
          <w:szCs w:val="24"/>
        </w:rPr>
        <w:t>que é dever do Estado dar efetividade aos princípios constitucionais da cidadania e da dignidade da pessoa humana (art. 1º, incisos II, III, da CRFB/1988);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CONSIDERANDO </w:t>
      </w:r>
      <w:r>
        <w:rPr>
          <w:rFonts w:eastAsia="Times New Roman" w:cs="Times New Roman" w:ascii="Times New Roman" w:hAnsi="Times New Roman"/>
          <w:sz w:val="24"/>
          <w:szCs w:val="24"/>
        </w:rPr>
        <w:t>que são reconhecidos como garantias fundamentais o direito à herança e à duração razoável do processo, no âmbito judicial e administrativo, bem como os meios que assegurem a celeridade de sua tramitação (nos termos do art. 5º, incisos XXX e LXXVIII, da CRFB/1988);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os serviços notariais e de registro são exercidos em caráter privado, por delegação do Poder Público, sendo que tais atividades são submetidas à fiscalização pelo Poder Judiciário (art. 236, § 1º, da CRFB/1988);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o art. 188, da Lei n. 6.015/1973, estabelece que, uma vez protocolizado o título, o Oficial deverá proceder ao seu registro ou realizar a emissão de nota devolutiva ao interessado, documento escrito por meio do qual o Cartório expõe os motivos pelos quais não pode registrar ou averbar o título, apresentando as orientações técnicas para sua adequação às exigências legais;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o art. 473, § 1º, inciso III, do Provimento Conjunto n. 93/2020, da Presidência e da Corregedoria-Geral do Tribunal de Justiça de Minas Gerais (TJMG), que regulamenta o acompanhamento registral online, estabelece que as consultas ao procedimento de registro devem viabilizar o acesso aos “dados de eventual nota de devolução com as exigências a serem cumpridas”, indicando, portanto, que tais adequações devem ser, a um só tempo, apresentadas ao interessado;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o art. 757, do Provimento Conjunto n. 93/2020, da Presidência e da Corregedoria-Geral do Tribunal de Justiça de Minas Gerais (TJMG), prevê que a “nota de exigência deve conter a exposição clara e sucinta das razões e dos fundamentos de fato e de direito em que o oficial de registro tiver se apoiado para a qualificação negativa do título, vedadas justificativas de devolução com expressões genéricas, tais como “para os devidos fins”, “para fins de direito” e outras congêneres”;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CONSIDERANDO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interesses;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 </w:t>
      </w:r>
      <w:r>
        <w:rPr>
          <w:rFonts w:eastAsia="Times New Roman" w:cs="Times New Roman" w:ascii="Times New Roman" w:hAnsi="Times New Roman"/>
          <w:sz w:val="24"/>
          <w:szCs w:val="24"/>
        </w:rPr>
        <w:t>o exercício pleno de seus direitos e garantias fundamentais, conforme o disposto no art. 4º, II, III, VII, VIII, X, da Lei Complementar Federal nº 80/94;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RESOLVE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instaurar de ofício o Procedimento Administrativo de Tutela Coletiva (PTAC) para apurar os fatos e adotar providências cabíveis para a superação dos óbices aos registros e aos inventários, em razão da emissão de notas devolutivas sucessivas por Cartórios de Imóveis.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Para tanto, determina-se a adoção das seguintes diligências: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emissão de Memorando às Câmaras de Estudos Cíveis e de Famílias para a análise técnica conjunta do caso;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emissão de Memorando às Defensorias Públicas Cíveis, de Famílias e Sucessões do Estado de Minas Gerais, para apurar se embaraços semelhantes têm sido enfrentados em outras comarcas e cartórios;</w:t>
      </w:r>
    </w:p>
    <w:p>
      <w:pPr>
        <w:pStyle w:val="Normal"/>
        <w:numPr>
          <w:ilvl w:val="0"/>
          <w:numId w:val="1"/>
        </w:numPr>
        <w:pBdr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elaboração e emissão de Nota-Técnica ou Ofício ao Tribunal de Justiça de Minas Gerais e sua Corregedoria-Geral, bem como aos Juízos Corregedores de Cartórios das comarcas atingidas, para que adotem as providências necessárias para evitar os prejuízos decorrentes da emissão de notas devolutivas sucessivas</w:t>
      </w:r>
    </w:p>
    <w:p>
      <w:pPr>
        <w:pStyle w:val="Normal"/>
        <w:pBdr/>
        <w:spacing w:lineRule="auto" w:line="360" w:before="0" w:after="0"/>
        <w:ind w:left="720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Autue-se. Cumpra-se. Após, venham os autos conclusos para análise.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Belo Horizonte/MG, 27 de setembro de 2023.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Paulo Cesar Azevedo de Almeida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Coordenadoria Estratégica em Tutela Coletiva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Defensor Público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Madep 0883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 PAGE </w:instrText>
    </w:r>
    <w:r>
      <w:rPr>
        <w:color w:val="000000"/>
      </w:rPr>
      <w:fldChar w:fldCharType="separate"/>
    </w:r>
    <w:r>
      <w:rPr>
        <w:color w:val="000000"/>
      </w:rPr>
      <w:t>5</w:t>
    </w:r>
    <w:r>
      <w:rPr>
        <w:color w:val="000000"/>
      </w:rPr>
      <w:fldChar w:fldCharType="end"/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Coordenadoria Estratégica em Tutela Coletiva</w:t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  <w:t>Rua dos Guajajaras, nº 1707, 7º andar, Barro Preto, Belo Horizonte/MG.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1080135" cy="108013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4617"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63461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34617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34617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3461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basedOn w:val="ListParagraph"/>
    <w:autoRedefine/>
    <w:uiPriority w:val="1"/>
    <w:qFormat/>
    <w:rsid w:val="00990e1c"/>
    <w:pPr>
      <w:spacing w:before="0" w:after="80"/>
      <w:ind w:left="0" w:hanging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ListParagraph">
    <w:name w:val="List Paragraph"/>
    <w:basedOn w:val="Normal"/>
    <w:uiPriority w:val="34"/>
    <w:qFormat/>
    <w:rsid w:val="00851d40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571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er" Target="footer1.xml"/><Relationship Id="rId7" Type="http://schemas.openxmlformats.org/officeDocument/2006/relationships/theme" Target="theme/theme1.xml"/><Relationship Id="rId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dWyd1jzzPmjEra4M9y42LvOr5BQ==">AMUW2mUrMfaw8VgaeI63l+tIPHFDKrb99LqYv+jDzuM0m3+FM8dESiP+5SeyYoGGiFjSOIIFOGqj7p0T834+yVi7UZO83bpd7c1TK1WOGIEhwE3fG0cTZpY=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5903C8-8EC9-4D37-9AE1-B0F0A2AA8CBC}"/>
</file>

<file path=customXml/itemProps3.xml><?xml version="1.0" encoding="utf-8"?>
<ds:datastoreItem xmlns:ds="http://schemas.openxmlformats.org/officeDocument/2006/customXml" ds:itemID="{623700A2-E245-44E7-9A85-4859F26B5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LibreOffice/7.0.1.2$Windows_X86_64 LibreOffice_project/7cbcfc562f6eb6708b5ff7d7397325de9e764452</Application>
  <Pages>5</Pages>
  <Words>1210</Words>
  <Characters>6911</Characters>
  <CharactersWithSpaces>8083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2022-01-17T12:14:00Z</dcterms:created>
  <dc:creator>defensor</dc:creator>
  <dc:description/>
  <dc:language>pt-BR</dc:language>
  <cp:lastModifiedBy/>
  <dcterms:modified xsi:type="dcterms:W3CDTF">2023-09-28T19:25:18Z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