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5D45" w14:textId="77777777" w:rsidR="006640AC" w:rsidRDefault="00DE70E6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Portaria de Instauração</w:t>
      </w:r>
    </w:p>
    <w:p w14:paraId="4770DC4F" w14:textId="77777777" w:rsidR="006640AC" w:rsidRDefault="00DE70E6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4FC09E09" w14:textId="77777777" w:rsidR="006640AC" w:rsidRDefault="00664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42179D0A" w14:textId="3D1B33D9" w:rsidR="006640AC" w:rsidRDefault="00DE70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113</w:t>
      </w:r>
      <w:r w:rsidR="00FC5F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</w:p>
    <w:p w14:paraId="1EF05E5A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B72E4" w14:textId="46A1A5F1" w:rsidR="006640AC" w:rsidRDefault="00DE70E6" w:rsidP="00905A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Lei Municipal n° 11.538/2023, de Belo Horizonte/MG.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 xml:space="preserve"> Previsão de 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ale-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ransporte em favor de grupos vulnerabilizados, tais como mulheres em situação de violência doméstica, pessoas em tratamento de saúde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e famílias em extrema vulnerabilidade social e econômica. Previsão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>, ainda,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 xml:space="preserve"> de subvenção d</w:t>
      </w:r>
      <w:r w:rsidR="00960469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 xml:space="preserve"> do valor da tarifa a estudantes, no percurso </w:t>
      </w:r>
      <w:r w:rsidR="007D7417">
        <w:rPr>
          <w:rFonts w:ascii="Times New Roman" w:eastAsia="Times New Roman" w:hAnsi="Times New Roman" w:cs="Times New Roman"/>
          <w:b/>
          <w:sz w:val="24"/>
          <w:szCs w:val="24"/>
        </w:rPr>
        <w:t xml:space="preserve">entre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residência</w:t>
      </w:r>
      <w:r w:rsidR="007D7417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escola.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 xml:space="preserve"> Benefícios denominados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 xml:space="preserve">Auxílio Transporte Mulher, Vale-Transporte Saúde, Auxílio Transporte Social e Passe Estudantil, respectivamente.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Efetivação do direito à gratuidade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transporte público urbano. Necessidade de Regulamentação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por meio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Decreto do Poder Executivo local. Essencialidade do </w:t>
      </w:r>
      <w:r w:rsidR="00FC5F4B">
        <w:rPr>
          <w:rFonts w:ascii="Times New Roman" w:eastAsia="Times New Roman" w:hAnsi="Times New Roman" w:cs="Times New Roman"/>
          <w:b/>
          <w:sz w:val="24"/>
          <w:szCs w:val="24"/>
        </w:rPr>
        <w:t>acesso à mobilidade urbana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fruição de </w:t>
      </w:r>
      <w:r w:rsidR="00905A5D">
        <w:rPr>
          <w:rFonts w:ascii="Times New Roman" w:eastAsia="Times New Roman" w:hAnsi="Times New Roman" w:cs="Times New Roman"/>
          <w:b/>
          <w:sz w:val="24"/>
          <w:szCs w:val="24"/>
        </w:rPr>
        <w:t xml:space="preserve">demais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direitos e garantias fundamentais. </w:t>
      </w:r>
    </w:p>
    <w:p w14:paraId="64CA5200" w14:textId="77777777" w:rsidR="009039AC" w:rsidRDefault="009039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D9B2C" w14:textId="4267DA61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LXXIV e art. 134, ambos da Constituição da República Federativa do Brasil, c/c art. 129, da Constituição do Estado de Minas Gerais, c/c art. 1º e art. 4°, incisos I, II, III, VII, VIII, X, XI, XVII e XVIII,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</w:t>
      </w:r>
      <w:r w:rsidR="007D7417">
        <w:rPr>
          <w:rFonts w:ascii="Times New Roman" w:eastAsia="Times New Roman" w:hAnsi="Times New Roman" w:cs="Times New Roman"/>
          <w:sz w:val="24"/>
          <w:szCs w:val="24"/>
        </w:rPr>
        <w:t>dos 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 a fim de </w:t>
      </w:r>
      <w:r w:rsidR="00905A5D">
        <w:rPr>
          <w:rFonts w:ascii="Times New Roman" w:eastAsia="Times New Roman" w:hAnsi="Times New Roman" w:cs="Times New Roman"/>
          <w:sz w:val="24"/>
          <w:szCs w:val="24"/>
        </w:rPr>
        <w:t xml:space="preserve">apurar e </w:t>
      </w:r>
      <w:r>
        <w:rPr>
          <w:rFonts w:ascii="Times New Roman" w:eastAsia="Times New Roman" w:hAnsi="Times New Roman" w:cs="Times New Roman"/>
          <w:sz w:val="24"/>
          <w:szCs w:val="24"/>
        </w:rPr>
        <w:t>tomar providências quanto à morosidade na regulamentação</w:t>
      </w:r>
      <w:r w:rsidR="00FC5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Lei Municipal 11.538/2023, de Belo Horizonte/M</w:t>
      </w:r>
      <w:r w:rsidR="009039AC">
        <w:rPr>
          <w:rFonts w:ascii="Times New Roman" w:eastAsia="Times New Roman" w:hAnsi="Times New Roman" w:cs="Times New Roman"/>
          <w:sz w:val="24"/>
          <w:szCs w:val="24"/>
        </w:rPr>
        <w:t>G, por parte do Poder Executivo local, visando, com isso, à garantia de efetivo acesso da população vulnerabilizada ao direito de gratuidade no transporte público coletivo urbano.</w:t>
      </w:r>
    </w:p>
    <w:p w14:paraId="24B6AD92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A6BA4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56B0539C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46A21" w14:textId="665CAEE9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Defensoria Pública do Estado de Minas Gerais tomou conhecimento, </w:t>
      </w:r>
      <w:r w:rsidR="004C4929">
        <w:rPr>
          <w:rFonts w:ascii="Times New Roman" w:eastAsia="Times New Roman" w:hAnsi="Times New Roman" w:cs="Times New Roman"/>
          <w:color w:val="000000"/>
          <w:sz w:val="24"/>
          <w:szCs w:val="24"/>
        </w:rPr>
        <w:t>por meio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veiculação de notícias </w:t>
      </w:r>
      <w:r w:rsidR="004C49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imprensa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redes sociais, de que a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Câmara </w:t>
      </w:r>
      <w:r w:rsidR="00960469">
        <w:rPr>
          <w:rFonts w:ascii="Times New Roman" w:eastAsia="Times New Roman" w:hAnsi="Times New Roman" w:cs="Times New Roman"/>
          <w:sz w:val="24"/>
          <w:szCs w:val="24"/>
        </w:rPr>
        <w:t>Municipal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 aprovou e, em seguida, a </w:t>
      </w:r>
      <w:r>
        <w:rPr>
          <w:rFonts w:ascii="Times New Roman" w:eastAsia="Times New Roman" w:hAnsi="Times New Roman" w:cs="Times New Roman"/>
          <w:sz w:val="24"/>
          <w:szCs w:val="24"/>
        </w:rPr>
        <w:t>Prefeitura de Belo Horizonte sancionou, em julho de 2023, a Lei Municipal n° 11.538/2023.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Referida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>norma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estabelece,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outras providências,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 os seguintes benefícios de gratuidade no transporte público coletivo urbano: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o Passe Estudantil Integral (art. 14), correspondente 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subvenção de 100% do valor da tarifa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>de ônibus em favor de estudantes, quanto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percurso residência-escola-residência;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bookmarkStart w:id="0" w:name="_Hlk141353408"/>
      <w:r>
        <w:rPr>
          <w:rFonts w:ascii="Times New Roman" w:eastAsia="Times New Roman" w:hAnsi="Times New Roman" w:cs="Times New Roman"/>
          <w:sz w:val="24"/>
          <w:szCs w:val="24"/>
        </w:rPr>
        <w:t>Vale-Transporte de Saúde</w:t>
      </w:r>
      <w:bookmarkEnd w:id="0"/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 (art. 15),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favor de </w:t>
      </w:r>
      <w:bookmarkStart w:id="1" w:name="_Hlk141353441"/>
      <w:r>
        <w:rPr>
          <w:rFonts w:ascii="Times New Roman" w:eastAsia="Times New Roman" w:hAnsi="Times New Roman" w:cs="Times New Roman"/>
          <w:sz w:val="24"/>
          <w:szCs w:val="24"/>
        </w:rPr>
        <w:t>pessoas que necessitam se deslocar para consultas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procedimentos médicos no âmbito do Sistema Único de Saúde (SUS)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C4929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bookmarkStart w:id="2" w:name="_Hlk141351225"/>
      <w:r>
        <w:rPr>
          <w:rFonts w:ascii="Times New Roman" w:eastAsia="Times New Roman" w:hAnsi="Times New Roman" w:cs="Times New Roman"/>
          <w:sz w:val="24"/>
          <w:szCs w:val="24"/>
        </w:rPr>
        <w:t xml:space="preserve">Auxílio de Transporte Social </w:t>
      </w:r>
      <w:bookmarkEnd w:id="2"/>
      <w:r w:rsidR="004C4929">
        <w:rPr>
          <w:rFonts w:ascii="Times New Roman" w:eastAsia="Times New Roman" w:hAnsi="Times New Roman" w:cs="Times New Roman"/>
          <w:sz w:val="24"/>
          <w:szCs w:val="24"/>
        </w:rPr>
        <w:t>(art. 16), em prol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41352328"/>
      <w:r>
        <w:rPr>
          <w:rFonts w:ascii="Times New Roman" w:eastAsia="Times New Roman" w:hAnsi="Times New Roman" w:cs="Times New Roman"/>
          <w:sz w:val="24"/>
          <w:szCs w:val="24"/>
        </w:rPr>
        <w:t>famílias em situação de extrema vulnerabilidade social e econômica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e 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Auxílio Transporte Mulher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 (art. 17)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garantir recursos para deslocamento de mulheres em situação de violência econômica ou social até a rede de serviços de atendimento às mulheres em situação de violência doméstica e familiar do Município. Ocorre que, para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a efetivação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do direito à gratuidade em favor des</w:t>
      </w:r>
      <w:r w:rsidR="009604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es segmentos sociais beneficiários</w:t>
      </w:r>
      <w:r>
        <w:rPr>
          <w:rFonts w:ascii="Times New Roman" w:eastAsia="Times New Roman" w:hAnsi="Times New Roman" w:cs="Times New Roman"/>
          <w:sz w:val="24"/>
          <w:szCs w:val="24"/>
        </w:rPr>
        <w:t>, faz-se necessária a regulamentação d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Lei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seus dispositivos, por parte d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e ato normativo a ser editado pela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Prefeitura de Belo Horizonte. Tal regulamentação, contudo, ainda não foi realizada,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informações prestadas à Defensoria Pública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-Geral e à Coordenadoria Estratégica de Tutela Coletiva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reunião com a Presidência da Câmara Municipal de Belo Horizonte, o que acaba por prejudicar os grupos vulnerabilizados amparados pelos dispositivos da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unicipal em questão, que ficam impedidos de fruir dos direitos garantidos</w:t>
      </w:r>
      <w:r w:rsidR="007D74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na pendência do Decreto de competência do Poder Executivo local.</w:t>
      </w:r>
    </w:p>
    <w:p w14:paraId="03E84165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16529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C32827B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C45F15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95415">
        <w:rPr>
          <w:rFonts w:ascii="Times New Roman" w:eastAsia="Times New Roman" w:hAnsi="Times New Roman" w:cs="Times New Roman"/>
          <w:color w:val="000000"/>
          <w:sz w:val="24"/>
          <w:szCs w:val="24"/>
        </w:rPr>
        <w:t>Prefeitura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Belo Horizonte/MG</w:t>
      </w:r>
    </w:p>
    <w:p w14:paraId="00808BEA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5415">
        <w:rPr>
          <w:rFonts w:ascii="Times New Roman" w:eastAsia="Times New Roman" w:hAnsi="Times New Roman" w:cs="Times New Roman"/>
          <w:sz w:val="24"/>
          <w:szCs w:val="24"/>
        </w:rPr>
        <w:t>Câmara Municipal de Belo Horizonte/MG</w:t>
      </w:r>
    </w:p>
    <w:p w14:paraId="5E8436F8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DB352" w14:textId="0CAEFE29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 e art. 134, da Constituição da República Federativa do Brasil de 1988 (CRFB/1988)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, bem como nos termos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1º, da Lei Complementar Federal nº 80/1994;</w:t>
      </w:r>
    </w:p>
    <w:p w14:paraId="1FDB6D84" w14:textId="77777777" w:rsidR="002F49B0" w:rsidRDefault="002F49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9130E" w14:textId="30591262" w:rsidR="002F49B0" w:rsidRDefault="002F49B0" w:rsidP="002F49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 e art. 3º, incisos I e IV, da CRFB/1988);</w:t>
      </w:r>
    </w:p>
    <w:p w14:paraId="07150CF6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EE75F" w14:textId="07AA9D80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exercer a defesa dos interesses individuais e coletivos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de grupos vulnerabilizados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 dentre os quais estão arroladas, expressamente, as crianças e adolescentes</w:t>
      </w:r>
      <w:r w:rsidR="0096046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>mulher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vítima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violência doméstica e familiar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>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outros grupos sociais que mereçam proteção especial do Estado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art. 4º, inciso XI, da Lei Complementar n.º 80/1994;</w:t>
      </w:r>
    </w:p>
    <w:p w14:paraId="6A3CD242" w14:textId="77777777" w:rsidR="002F49B0" w:rsidRDefault="002F49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0480F" w14:textId="5FF38680" w:rsidR="002F49B0" w:rsidRDefault="002F49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detém, ainda, atribuição para </w:t>
      </w:r>
      <w:r w:rsidRPr="002F49B0">
        <w:rPr>
          <w:rFonts w:ascii="Times New Roman" w:eastAsia="Times New Roman" w:hAnsi="Times New Roman" w:cs="Times New Roman"/>
          <w:sz w:val="24"/>
          <w:szCs w:val="24"/>
        </w:rPr>
        <w:t>promover a mais ampla defesa dos direitos fundamentais dos necessitados, abrangendo seus direitos individuais, coletivos, sociais, econômicos, culturais e ambientais, sendo admissíveis todas as espécies de ações capazes de propiciar sua adequada e efetiva tutela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4º, inciso X, da Lei Complementar n.º 80/1994;</w:t>
      </w:r>
    </w:p>
    <w:p w14:paraId="641F1594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1291B" w14:textId="2F30B1C5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 acesso ao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transporte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 xml:space="preserve"> é considerado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direito social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amparado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 xml:space="preserve">expressamente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pela Carta Magna, conforme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6°;</w:t>
      </w:r>
    </w:p>
    <w:p w14:paraId="1D12C4CE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4DE10" w14:textId="7392D294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compete aos Municípios organizar e prestar, diretamente ou sob regime de concessão ou permissão, os serviços públicos de interesse local, incluído o de transporte coletivo, que tem caráter essencial, nos termos do art. 30, inciso V, da </w:t>
      </w:r>
      <w:r w:rsidR="002F49B0">
        <w:rPr>
          <w:rFonts w:ascii="Times New Roman" w:eastAsia="Times New Roman" w:hAnsi="Times New Roman" w:cs="Times New Roman"/>
          <w:sz w:val="24"/>
          <w:szCs w:val="24"/>
        </w:rPr>
        <w:t>Constituição da República Federativa do Brasil de 1988 (CRFB/1988)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97F3BD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E711A" w14:textId="7A208E6E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dever do Estado prestar assistência social a quem dela necessitar, incluindo o </w:t>
      </w:r>
      <w:r w:rsidRPr="00EE5C95">
        <w:rPr>
          <w:rFonts w:ascii="Times New Roman" w:eastAsia="Times New Roman" w:hAnsi="Times New Roman" w:cs="Times New Roman"/>
          <w:sz w:val="24"/>
          <w:szCs w:val="24"/>
        </w:rPr>
        <w:t xml:space="preserve">amparo às crianças e adolescentes carentes, a promoção da integração ao mercado 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5C95">
        <w:rPr>
          <w:rFonts w:ascii="Times New Roman" w:eastAsia="Times New Roman" w:hAnsi="Times New Roman" w:cs="Times New Roman"/>
          <w:sz w:val="24"/>
          <w:szCs w:val="24"/>
        </w:rPr>
        <w:t>e trabalho, a redução da vulnerabilidade econômica de famílias em situação de pobreza ou de extrema pobreza</w:t>
      </w:r>
      <w:r>
        <w:rPr>
          <w:rFonts w:ascii="Times New Roman" w:eastAsia="Times New Roman" w:hAnsi="Times New Roman" w:cs="Times New Roman"/>
          <w:sz w:val="24"/>
          <w:szCs w:val="24"/>
        </w:rPr>
        <w:t>, nos moldes do art. 203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CRFB/1988, </w:t>
      </w:r>
      <w:r>
        <w:rPr>
          <w:rFonts w:ascii="Times New Roman" w:eastAsia="Times New Roman" w:hAnsi="Times New Roman" w:cs="Times New Roman"/>
          <w:sz w:val="24"/>
          <w:szCs w:val="24"/>
        </w:rPr>
        <w:t>e do art. 2°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Lei Orgânica da Assistência Social (Lei n° 8.742/1993);</w:t>
      </w:r>
    </w:p>
    <w:p w14:paraId="1EF5CB50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57FDF" w14:textId="12024845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n° 8.742/1993 estabelece, como princípios da assistência social, nos moldes do art. 4°, entre outros, a universalização dos direitos sociais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fim de tornar o destinatário da ação assistencial alcançável pelas demais políticas públicas; o respeito à dignidade do cidadão, à sua autonomia e ao seu direito a benefícios e serviços de qualidade, bem como à convivência familiar e comunitária; e a divulgação ampla dos benefícios, serviços, programas e projetos assistenciais, bem como dos recursos oferecidos pelo Poder Público e dos critérios para sua concessão;</w:t>
      </w:r>
    </w:p>
    <w:p w14:paraId="5A87769C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E2E65" w14:textId="7C9B37C9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o teor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n° 8.080/1990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regulamenta o Sistema Único de Saúde (SUS)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estabelece, em seu art. 3°, como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fatores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determinantes e condicionantes da saúde a alimentação, a moradia, o saneamento básico, </w:t>
      </w:r>
      <w:r w:rsidRPr="00EE5C95">
        <w:rPr>
          <w:rFonts w:ascii="Times New Roman" w:eastAsia="Times New Roman" w:hAnsi="Times New Roman" w:cs="Times New Roman"/>
          <w:b/>
          <w:bCs/>
          <w:sz w:val="24"/>
          <w:szCs w:val="24"/>
        </w:rPr>
        <w:t>o transporte</w:t>
      </w:r>
      <w:r>
        <w:rPr>
          <w:rFonts w:ascii="Times New Roman" w:eastAsia="Times New Roman" w:hAnsi="Times New Roman" w:cs="Times New Roman"/>
          <w:sz w:val="24"/>
          <w:szCs w:val="24"/>
        </w:rPr>
        <w:t>, o acesso aos bens e serviços essenciais, entre outros;</w:t>
      </w:r>
    </w:p>
    <w:p w14:paraId="7BA6857F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C4ACE" w14:textId="3CCF56E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Maria da Penha (Lei </w:t>
      </w:r>
      <w:r w:rsidR="007D7417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eastAsia="Times New Roman" w:hAnsi="Times New Roman" w:cs="Times New Roman"/>
          <w:sz w:val="24"/>
          <w:szCs w:val="24"/>
        </w:rPr>
        <w:t>11.340/2006), que cria mecanismos para coibir a violência doméstica e familiar contra a mulher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prevê, em seu art. 9°, a prestação da assistência à mulher em situação de violência doméstica e familiar de forma articulada e conforme os princípios e diretrizes previstos na Lei Orgânica da Assistência Social, no Sistema Único de Saúde, no Sistema Único de Segurança Pública, entre outras normas e políticas públicas de proteção; </w:t>
      </w:r>
    </w:p>
    <w:p w14:paraId="3E21E4C4" w14:textId="77777777" w:rsidR="00B3744B" w:rsidRDefault="00B374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F5A2B" w14:textId="2F244286" w:rsidR="00B3744B" w:rsidRDefault="00B374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Resolução n. 40/2020, do Conselho Nacional dos Direitos Humanos (CNDH), em seu art. 27, estabelece o dever da União, dos Estados e dos Municípios</w:t>
      </w:r>
      <w:r w:rsidRPr="00B37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3744B">
        <w:rPr>
          <w:rFonts w:ascii="Times New Roman" w:eastAsia="Times New Roman" w:hAnsi="Times New Roman" w:cs="Times New Roman"/>
          <w:sz w:val="24"/>
          <w:szCs w:val="24"/>
        </w:rPr>
        <w:t xml:space="preserve"> fomentar ações de mobilidade específicas para a população em situação de rua, garan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3744B">
        <w:rPr>
          <w:rFonts w:ascii="Times New Roman" w:eastAsia="Times New Roman" w:hAnsi="Times New Roman" w:cs="Times New Roman"/>
          <w:sz w:val="24"/>
          <w:szCs w:val="24"/>
        </w:rPr>
        <w:t>ndo gratuidade no transporte local, intermunicipal e interestadual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AE8970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B8E44" w14:textId="100AA7A8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fruição do transporte público é essencial para a concretização de diversos outros direitos fundamentais, uma vez que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mobilidade urbana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é fator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garante </w:t>
      </w:r>
      <w:r w:rsidR="00E357A5">
        <w:rPr>
          <w:rFonts w:ascii="Times New Roman" w:eastAsia="Times New Roman" w:hAnsi="Times New Roman" w:cs="Times New Roman"/>
          <w:sz w:val="24"/>
          <w:szCs w:val="24"/>
        </w:rPr>
        <w:t xml:space="preserve">às pessoas </w:t>
      </w:r>
      <w:r>
        <w:rPr>
          <w:rFonts w:ascii="Times New Roman" w:eastAsia="Times New Roman" w:hAnsi="Times New Roman" w:cs="Times New Roman"/>
          <w:sz w:val="24"/>
          <w:szCs w:val="24"/>
        </w:rPr>
        <w:t>o gozo de qualidade de vida por meio do acesso a serviços de saúde, educação, profissionalização e lazer, além de permitir o deslocamento para exercício do trabalho e, com isso, a própria concretização da autonomia;</w:t>
      </w:r>
    </w:p>
    <w:p w14:paraId="58ED94DA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45A58" w14:textId="6D9C9BD8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exercer a defesa dos interesses individuais e coletivos </w:t>
      </w:r>
      <w:r w:rsidR="00EE5C95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grupos sociais vulneráveis que mereçam proteção especial do Estado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visando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</w:t>
      </w:r>
      <w:r w:rsidR="00AC328E">
        <w:rPr>
          <w:rFonts w:ascii="Times New Roman" w:eastAsia="Times New Roman" w:hAnsi="Times New Roman" w:cs="Times New Roman"/>
          <w:sz w:val="24"/>
          <w:szCs w:val="24"/>
        </w:rPr>
        <w:t xml:space="preserve"> incisos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II, III, VII, VIII, X, XI, da Lei Complementar Federal 80/94;</w:t>
      </w:r>
    </w:p>
    <w:p w14:paraId="63BAB211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E16B0" w14:textId="13A8E44E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</w:t>
      </w:r>
      <w:r w:rsidR="00AC328E"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Procedimento Administrativo de Tutela Coletiva (PTAC) para tomar providências cabíveis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a fim de assegurar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regulamentação d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os termos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Municipal n° 11.538/2023,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garantindo, com isso,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dos grupos vulnerabilizados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amparados pela norma em questão,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ao direito de gratuidade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transporte público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 xml:space="preserve"> coletivo urbano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C95">
        <w:rPr>
          <w:rFonts w:ascii="Times New Roman" w:eastAsia="Times New Roman" w:hAnsi="Times New Roman" w:cs="Times New Roman"/>
          <w:sz w:val="24"/>
          <w:szCs w:val="24"/>
        </w:rPr>
        <w:t>em Belo Horizonte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90F9E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8E448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44EBDDE1" w14:textId="06B513FB" w:rsidR="006640AC" w:rsidRDefault="00B53310" w:rsidP="00B533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a 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juntada dos documentos relativos </w:t>
      </w:r>
      <w:r w:rsidR="00DE70E6">
        <w:rPr>
          <w:rFonts w:ascii="Times New Roman" w:eastAsia="Times New Roman" w:hAnsi="Times New Roman" w:cs="Times New Roman"/>
          <w:sz w:val="24"/>
          <w:szCs w:val="24"/>
        </w:rPr>
        <w:t>ao caso em questão</w:t>
      </w:r>
      <w:r w:rsidR="00273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tais como cópia da Lei Municipal n. 11.538/2023 e do Ofício protocolizado pela Presidência da Câmara 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Municipal </w:t>
      </w:r>
      <w:r w:rsidR="00273989">
        <w:rPr>
          <w:rFonts w:ascii="Times New Roman" w:eastAsia="Times New Roman" w:hAnsi="Times New Roman" w:cs="Times New Roman"/>
          <w:color w:val="000000"/>
          <w:sz w:val="24"/>
          <w:szCs w:val="24"/>
        </w:rPr>
        <w:t>de Belo Horizonte na Defensoria Pública de Minas Gerais;</w:t>
      </w:r>
    </w:p>
    <w:p w14:paraId="27ABDB41" w14:textId="0DD305BB" w:rsidR="006640AC" w:rsidRDefault="00273989" w:rsidP="0027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 elaboração e a subsequente 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de ofícios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requisição 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recomendações ao Município de </w:t>
      </w:r>
      <w:r w:rsidR="00DE70E6">
        <w:rPr>
          <w:rFonts w:ascii="Times New Roman" w:eastAsia="Times New Roman" w:hAnsi="Times New Roman" w:cs="Times New Roman"/>
          <w:sz w:val="24"/>
          <w:szCs w:val="24"/>
        </w:rPr>
        <w:t>Belo Horizonte/MG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a matéria;</w:t>
      </w:r>
    </w:p>
    <w:p w14:paraId="07071047" w14:textId="176662DC" w:rsidR="006640AC" w:rsidRDefault="00273989" w:rsidP="00273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a 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elaboração de instrumentos judiciais 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>ou outros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extrajudiciais 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>em face d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>os órgãos públicos e privados prestadores d</w:t>
      </w:r>
      <w:r w:rsidR="00DE70E6">
        <w:rPr>
          <w:rFonts w:ascii="Times New Roman" w:eastAsia="Times New Roman" w:hAnsi="Times New Roman" w:cs="Times New Roman"/>
          <w:sz w:val="24"/>
          <w:szCs w:val="24"/>
        </w:rPr>
        <w:t>o serviço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visando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328E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promoção do respeito aos direitos d</w:t>
      </w:r>
      <w:r w:rsidR="00DE70E6">
        <w:rPr>
          <w:rFonts w:ascii="Times New Roman" w:eastAsia="Times New Roman" w:hAnsi="Times New Roman" w:cs="Times New Roman"/>
          <w:sz w:val="24"/>
          <w:szCs w:val="24"/>
        </w:rPr>
        <w:t>os grupos amparados pela Lei em comento</w:t>
      </w:r>
      <w:r w:rsidR="00DE70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082818" w14:textId="77777777" w:rsidR="006640AC" w:rsidRDefault="00664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6F252" w14:textId="77777777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2B90958C" w14:textId="77777777" w:rsidR="00B3744B" w:rsidRDefault="00B374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A5A2D" w14:textId="2D72CD18" w:rsidR="006640AC" w:rsidRDefault="00DE70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Horizonte/MG, 2</w:t>
      </w:r>
      <w:r w:rsidR="00AF301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2023.</w:t>
      </w:r>
    </w:p>
    <w:p w14:paraId="7FD26216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9DC01" w14:textId="77777777" w:rsidR="006640AC" w:rsidRDefault="00664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939E7" w14:textId="77777777" w:rsidR="00B3744B" w:rsidRDefault="00B374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5D2DE" w14:textId="77777777" w:rsidR="006640AC" w:rsidRDefault="00DE7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Paulo Cesar Azevedo de Almeida</w:t>
      </w:r>
    </w:p>
    <w:p w14:paraId="2C2798E5" w14:textId="77777777" w:rsidR="006640AC" w:rsidRDefault="00DE70E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Coordenadoria Estratégica em Tutela Coletiva</w:t>
      </w:r>
    </w:p>
    <w:p w14:paraId="239505BD" w14:textId="77777777" w:rsidR="00B3744B" w:rsidRDefault="00DE70E6" w:rsidP="00AC328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Defensor Público</w:t>
      </w:r>
    </w:p>
    <w:p w14:paraId="44DEF542" w14:textId="2709F57C" w:rsidR="006640AC" w:rsidRDefault="00B3744B" w:rsidP="00AC328E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M</w:t>
      </w:r>
      <w:r w:rsidR="00DE70E6">
        <w:rPr>
          <w:rFonts w:ascii="Times New Roman" w:eastAsia="Times New Roman" w:hAnsi="Times New Roman" w:cs="Times New Roman"/>
          <w:smallCaps/>
          <w:color w:val="000000"/>
        </w:rPr>
        <w:t>adep 883</w:t>
      </w:r>
    </w:p>
    <w:p w14:paraId="3873BAEC" w14:textId="77777777" w:rsidR="006640AC" w:rsidRDefault="0066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14B85C05" w14:textId="77777777" w:rsidR="00B3744B" w:rsidRDefault="00B37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4AD6B052" w14:textId="77777777" w:rsidR="006640AC" w:rsidRDefault="006640AC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14:paraId="424E1FF7" w14:textId="77777777" w:rsidR="00AC328E" w:rsidRDefault="00AC328E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p w14:paraId="33196F63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4" w:name="_Hlk141355195"/>
      <w:r>
        <w:rPr>
          <w:rFonts w:ascii="Times New Roman" w:eastAsia="Times New Roman" w:hAnsi="Times New Roman" w:cs="Times New Roman"/>
          <w:b/>
          <w:bCs/>
          <w:smallCaps/>
          <w:color w:val="000000"/>
        </w:rPr>
        <w:t>Samantha Vilarinho Mello Alves</w:t>
      </w:r>
    </w:p>
    <w:p w14:paraId="71D30ABE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Coordenadoria Estadual de Promoção e Defesa dos Direitos das Mulheres</w:t>
      </w:r>
    </w:p>
    <w:p w14:paraId="6207AD84" w14:textId="77777777" w:rsidR="00B3744B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Defensora Pública</w:t>
      </w:r>
    </w:p>
    <w:p w14:paraId="446DAF07" w14:textId="2F40BFB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Madep 585</w:t>
      </w:r>
    </w:p>
    <w:p w14:paraId="3EE06F1E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4DF58690" w14:textId="77777777" w:rsidR="00C505EF" w:rsidRDefault="00C505EF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759B7A98" w14:textId="77777777" w:rsidR="00C505EF" w:rsidRDefault="00C505EF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6B2CB83C" w14:textId="77777777" w:rsidR="00F21793" w:rsidRDefault="00F21793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116D705C" w14:textId="77777777" w:rsidR="00F21793" w:rsidRDefault="00F21793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47611A01" w14:textId="77777777" w:rsidR="00C505EF" w:rsidRDefault="00C505EF" w:rsidP="00C505E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</w:rPr>
        <w:t>Diana Fernandes de Moura</w:t>
      </w:r>
    </w:p>
    <w:p w14:paraId="732F6DC7" w14:textId="77777777" w:rsidR="00C505EF" w:rsidRDefault="00C505EF" w:rsidP="00C505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Defensoria Especializada de Defesa dos Direitos das Mulheres em Situação de Violência de Gênero de Belo Horizonte – NUDEM-BH</w:t>
      </w:r>
    </w:p>
    <w:p w14:paraId="139CC587" w14:textId="77777777" w:rsidR="00B3744B" w:rsidRDefault="00C505EF" w:rsidP="00C505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Defensora Pública</w:t>
      </w:r>
    </w:p>
    <w:p w14:paraId="7D936E30" w14:textId="0A52553D" w:rsidR="00C505EF" w:rsidRDefault="00C505EF" w:rsidP="00C505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>Madep 684</w:t>
      </w:r>
    </w:p>
    <w:bookmarkEnd w:id="4"/>
    <w:p w14:paraId="0920B8E0" w14:textId="77777777" w:rsidR="00C505EF" w:rsidRDefault="00C505EF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4313A7FE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0612571D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5604AE8A" w14:textId="77777777" w:rsidR="00B3744B" w:rsidRDefault="00B3744B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435B6ACC" w14:textId="724A30EB" w:rsidR="00B3744B" w:rsidRDefault="00B3744B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75DF5FCE" w14:textId="4C25CD95" w:rsidR="00B3744B" w:rsidRPr="00B3744B" w:rsidRDefault="00B3744B" w:rsidP="00AC328E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eastAsia="Arial" w:hAnsi="Times New Roman" w:cs="Arial"/>
          <w:b/>
          <w:bCs/>
          <w:smallCaps/>
          <w:color w:val="000000"/>
          <w:szCs w:val="24"/>
          <w:lang w:bidi="hi-IN"/>
        </w:rPr>
      </w:pPr>
      <w:r w:rsidRPr="00B3744B">
        <w:rPr>
          <w:rFonts w:ascii="Times New Roman" w:eastAsia="Arial" w:hAnsi="Times New Roman" w:cs="Arial"/>
          <w:b/>
          <w:bCs/>
          <w:smallCaps/>
          <w:color w:val="000000"/>
          <w:szCs w:val="24"/>
          <w:lang w:bidi="hi-IN"/>
        </w:rPr>
        <w:t>Júnia Roman Carvalho</w:t>
      </w:r>
    </w:p>
    <w:p w14:paraId="4F533EBC" w14:textId="2343AA0C" w:rsidR="00AC328E" w:rsidRDefault="00AC328E" w:rsidP="00AC328E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>Defensoria Pública Especializada de Direitos Humanos, Coletivos e Socioambientais</w:t>
      </w:r>
    </w:p>
    <w:p w14:paraId="3C7F6604" w14:textId="77777777" w:rsidR="00B3744B" w:rsidRDefault="00AC328E" w:rsidP="00B3744B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>Defensor</w:t>
      </w:r>
      <w:r w:rsidR="00B3744B"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>a</w:t>
      </w:r>
      <w:r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 xml:space="preserve"> Públic</w:t>
      </w:r>
      <w:r w:rsidR="00B3744B"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>a</w:t>
      </w:r>
    </w:p>
    <w:p w14:paraId="10327E8D" w14:textId="10FFB2EA" w:rsidR="00AC328E" w:rsidRDefault="00AC328E" w:rsidP="00B3744B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 xml:space="preserve">Madep </w:t>
      </w:r>
      <w:r w:rsidR="00B3744B">
        <w:rPr>
          <w:rFonts w:ascii="Times New Roman" w:eastAsia="Arial" w:hAnsi="Times New Roman" w:cs="Arial"/>
          <w:smallCaps/>
          <w:color w:val="000000"/>
          <w:szCs w:val="24"/>
          <w:lang w:bidi="hi-IN"/>
        </w:rPr>
        <w:t>235</w:t>
      </w:r>
    </w:p>
    <w:p w14:paraId="7C2DADA7" w14:textId="77777777" w:rsidR="00AC328E" w:rsidRDefault="00AC328E" w:rsidP="00AC328E">
      <w:pPr>
        <w:spacing w:after="0" w:line="240" w:lineRule="auto"/>
        <w:jc w:val="center"/>
        <w:rPr>
          <w:rFonts w:ascii="Times New Roman" w:hAnsi="Times New Roman"/>
        </w:rPr>
      </w:pPr>
    </w:p>
    <w:p w14:paraId="3D6A53B1" w14:textId="77777777" w:rsidR="00AC328E" w:rsidRDefault="00AC328E">
      <w:pPr>
        <w:spacing w:after="0" w:line="240" w:lineRule="auto"/>
        <w:rPr>
          <w:rFonts w:ascii="Times New Roman" w:eastAsia="Times New Roman" w:hAnsi="Times New Roman" w:cs="Times New Roman"/>
          <w:smallCaps/>
          <w:color w:val="000000"/>
        </w:rPr>
      </w:pPr>
    </w:p>
    <w:sectPr w:rsidR="00AC328E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9060" w14:textId="77777777" w:rsidR="00460030" w:rsidRDefault="00460030">
      <w:pPr>
        <w:spacing w:after="0" w:line="240" w:lineRule="auto"/>
      </w:pPr>
      <w:r>
        <w:separator/>
      </w:r>
    </w:p>
  </w:endnote>
  <w:endnote w:type="continuationSeparator" w:id="0">
    <w:p w14:paraId="0D4FD3B0" w14:textId="77777777" w:rsidR="00460030" w:rsidRDefault="0046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6FE7" w14:textId="77777777" w:rsidR="006640AC" w:rsidRDefault="00DE7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5415">
      <w:rPr>
        <w:noProof/>
        <w:color w:val="000000"/>
      </w:rPr>
      <w:t>2</w:t>
    </w:r>
    <w:r>
      <w:rPr>
        <w:color w:val="000000"/>
      </w:rPr>
      <w:fldChar w:fldCharType="end"/>
    </w:r>
  </w:p>
  <w:p w14:paraId="3A5B975B" w14:textId="77777777" w:rsidR="006640AC" w:rsidRDefault="00DE7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6CA5EDD" w14:textId="77777777" w:rsidR="006640AC" w:rsidRDefault="00DE7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8786" w14:textId="77777777" w:rsidR="00460030" w:rsidRDefault="00460030">
      <w:pPr>
        <w:spacing w:after="0" w:line="240" w:lineRule="auto"/>
      </w:pPr>
      <w:r>
        <w:separator/>
      </w:r>
    </w:p>
  </w:footnote>
  <w:footnote w:type="continuationSeparator" w:id="0">
    <w:p w14:paraId="53A9EF2E" w14:textId="77777777" w:rsidR="00460030" w:rsidRDefault="0046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DD3E" w14:textId="77777777" w:rsidR="006640AC" w:rsidRDefault="00DE7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17C619" wp14:editId="5D179887">
          <wp:extent cx="1080000" cy="108000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C25610" w14:textId="77777777" w:rsidR="006640AC" w:rsidRDefault="00664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8F5"/>
    <w:multiLevelType w:val="multilevel"/>
    <w:tmpl w:val="832CC4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0AC"/>
    <w:rsid w:val="00273989"/>
    <w:rsid w:val="002F49B0"/>
    <w:rsid w:val="00342223"/>
    <w:rsid w:val="003C6D01"/>
    <w:rsid w:val="003D226E"/>
    <w:rsid w:val="00460030"/>
    <w:rsid w:val="00476632"/>
    <w:rsid w:val="004C4929"/>
    <w:rsid w:val="006640AC"/>
    <w:rsid w:val="00695415"/>
    <w:rsid w:val="006D52F2"/>
    <w:rsid w:val="006E4ABD"/>
    <w:rsid w:val="007129B7"/>
    <w:rsid w:val="007D7417"/>
    <w:rsid w:val="008C027B"/>
    <w:rsid w:val="009039AC"/>
    <w:rsid w:val="00905A5D"/>
    <w:rsid w:val="00960469"/>
    <w:rsid w:val="00A1526E"/>
    <w:rsid w:val="00AC328E"/>
    <w:rsid w:val="00AF301C"/>
    <w:rsid w:val="00B3744B"/>
    <w:rsid w:val="00B53310"/>
    <w:rsid w:val="00BD0294"/>
    <w:rsid w:val="00C505EF"/>
    <w:rsid w:val="00DE70E6"/>
    <w:rsid w:val="00E357A5"/>
    <w:rsid w:val="00EE5C95"/>
    <w:rsid w:val="00F21793"/>
    <w:rsid w:val="00F81F2A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EC7A"/>
  <w15:docId w15:val="{B3D13886-C827-402D-BEB5-0C029C79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PV0FzjRnWsntU/ZJvrHisyd1g==">CgMxLjA4AHIhMUNtWHgyZnpnWDdraFdCZ0hGOEJGYWxfT3ZWRFBNTUl0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1B3B42-9238-4981-82F0-8F12877E807E}"/>
</file>

<file path=customXml/itemProps3.xml><?xml version="1.0" encoding="utf-8"?>
<ds:datastoreItem xmlns:ds="http://schemas.openxmlformats.org/officeDocument/2006/customXml" ds:itemID="{6CF79610-0063-4FD1-85A1-AAA54AC5D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1812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12</cp:revision>
  <dcterms:created xsi:type="dcterms:W3CDTF">2023-04-12T16:49:00Z</dcterms:created>
  <dcterms:modified xsi:type="dcterms:W3CDTF">2023-07-28T14:48:00Z</dcterms:modified>
</cp:coreProperties>
</file>