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CC0" w14:textId="77777777" w:rsidR="000C230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4A1D722F" w14:textId="77777777" w:rsidR="000C230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66B24625" w14:textId="77777777" w:rsidR="000C230B" w:rsidRDefault="000C230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039E7CF" w14:textId="77777777" w:rsidR="006946D8" w:rsidRDefault="006946D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87EDF65" w14:textId="2E22EAB5" w:rsidR="000C230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057B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6946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264CEE73" w14:textId="77777777" w:rsidR="000C230B" w:rsidRDefault="000C230B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47390" w14:textId="77777777" w:rsidR="006946D8" w:rsidRDefault="006946D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24795" w14:textId="04A5D1D3" w:rsidR="000C230B" w:rsidRDefault="00000000" w:rsidP="00490CAA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Comunidade Tradicional Carroceira de Belo Horizonte e Região Metropolitana.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 Municipal 11.285/2021</w:t>
      </w:r>
      <w:r w:rsidR="006946D8">
        <w:rPr>
          <w:rFonts w:ascii="Times New Roman" w:eastAsia="Times New Roman" w:hAnsi="Times New Roman" w:cs="Times New Roman"/>
          <w:b/>
          <w:sz w:val="24"/>
          <w:szCs w:val="24"/>
        </w:rPr>
        <w:t xml:space="preserve"> de Belo Horizonte/MG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Substituição Gradativa dos Veículos de Tração Animal no Município.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Proibição de veículos de tração animal no prazo de 10 anos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>, com substituição por veículos de tração motorizada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Redução do prazo para 2026, por mei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 Projeto de Lei </w:t>
      </w:r>
      <w:r w:rsidR="006946D8">
        <w:rPr>
          <w:rFonts w:ascii="Times New Roman" w:eastAsia="Times New Roman" w:hAnsi="Times New Roman" w:cs="Times New Roman"/>
          <w:b/>
          <w:sz w:val="24"/>
          <w:szCs w:val="24"/>
        </w:rPr>
        <w:t xml:space="preserve">Municipal 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>545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Medidas para proteção d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>os direitos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povos e comunidades tradicionais.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 Distinção entre carroceiros tradicionais e transportadores</w:t>
      </w:r>
      <w:r w:rsidR="00AC22C3">
        <w:rPr>
          <w:rFonts w:ascii="Times New Roman" w:eastAsia="Times New Roman" w:hAnsi="Times New Roman" w:cs="Times New Roman"/>
          <w:b/>
          <w:sz w:val="24"/>
          <w:szCs w:val="24"/>
        </w:rPr>
        <w:t xml:space="preserve"> de carga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22C3">
        <w:rPr>
          <w:rFonts w:ascii="Times New Roman" w:eastAsia="Times New Roman" w:hAnsi="Times New Roman" w:cs="Times New Roman"/>
          <w:b/>
          <w:sz w:val="24"/>
          <w:szCs w:val="24"/>
        </w:rPr>
        <w:t>Dever de p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>roteção ao patrimônio histórico e cultural do Estado</w:t>
      </w:r>
      <w:r w:rsidR="00AC22C3">
        <w:rPr>
          <w:rFonts w:ascii="Times New Roman" w:eastAsia="Times New Roman" w:hAnsi="Times New Roman" w:cs="Times New Roman"/>
          <w:b/>
          <w:sz w:val="24"/>
          <w:szCs w:val="24"/>
        </w:rPr>
        <w:t xml:space="preserve"> de Minas Gerais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. Direito à </w:t>
      </w:r>
      <w:r w:rsidR="00AC22C3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90CAA">
        <w:rPr>
          <w:rFonts w:ascii="Times New Roman" w:eastAsia="Times New Roman" w:hAnsi="Times New Roman" w:cs="Times New Roman"/>
          <w:b/>
          <w:sz w:val="24"/>
          <w:szCs w:val="24"/>
        </w:rPr>
        <w:t xml:space="preserve">onsulta </w:t>
      </w:r>
      <w:r w:rsidR="00AC22C3">
        <w:rPr>
          <w:rFonts w:ascii="Times New Roman" w:eastAsia="Times New Roman" w:hAnsi="Times New Roman" w:cs="Times New Roman"/>
          <w:b/>
          <w:sz w:val="24"/>
          <w:szCs w:val="24"/>
        </w:rPr>
        <w:t>livre, prévia e informada. Convenção n. 169, da Organização Internacional do Trabalho.</w:t>
      </w:r>
    </w:p>
    <w:p w14:paraId="4A710B1A" w14:textId="77777777" w:rsidR="000C230B" w:rsidRDefault="000C230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C3B477" w14:textId="77777777" w:rsidR="008D5FDE" w:rsidRDefault="008D5FDE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EF3923" w14:textId="3A389F4E" w:rsidR="000C230B" w:rsidRDefault="00000000" w:rsidP="00AC22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fim de apurar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0C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90CAA">
        <w:rPr>
          <w:rFonts w:ascii="Times New Roman" w:eastAsia="Times New Roman" w:hAnsi="Times New Roman" w:cs="Times New Roman"/>
          <w:sz w:val="24"/>
          <w:szCs w:val="24"/>
        </w:rPr>
        <w:t xml:space="preserve">constitucionalidade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Lei 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>11.285/2021,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 xml:space="preserve"> de Belo Horizonte/MG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(que institui o </w:t>
      </w:r>
      <w:r w:rsidR="00AC22C3" w:rsidRPr="00AC22C3">
        <w:rPr>
          <w:rFonts w:ascii="Times New Roman" w:eastAsia="Times New Roman" w:hAnsi="Times New Roman" w:cs="Times New Roman"/>
          <w:sz w:val="24"/>
          <w:szCs w:val="24"/>
        </w:rPr>
        <w:t>Programa de Substituição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C3" w:rsidRPr="00AC22C3">
        <w:rPr>
          <w:rFonts w:ascii="Times New Roman" w:eastAsia="Times New Roman" w:hAnsi="Times New Roman" w:cs="Times New Roman"/>
          <w:sz w:val="24"/>
          <w:szCs w:val="24"/>
        </w:rPr>
        <w:t>Gradativa dos Veículos de Tração Animal no Município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como seus impactos negativos 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>em relação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Comunidade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Tradicional </w:t>
      </w:r>
      <w:r>
        <w:rPr>
          <w:rFonts w:ascii="Times New Roman" w:eastAsia="Times New Roman" w:hAnsi="Times New Roman" w:cs="Times New Roman"/>
          <w:sz w:val="24"/>
          <w:szCs w:val="24"/>
        </w:rPr>
        <w:t>Carroceira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de Belo Horizonte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lastRenderedPageBreak/>
        <w:t>e Região Metropolitana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acompanhar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trâmite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Projeto de Lei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545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252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na Câmara de Vereadores de Belo Horizonte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adotando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providências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 cabíveis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intuito de salvaguardar os direitos de tal comunidade</w:t>
      </w:r>
      <w:r w:rsidR="008D5FDE">
        <w:rPr>
          <w:rFonts w:ascii="Times New Roman" w:eastAsia="Times New Roman" w:hAnsi="Times New Roman" w:cs="Times New Roman"/>
          <w:sz w:val="24"/>
          <w:szCs w:val="24"/>
        </w:rPr>
        <w:t xml:space="preserve"> à preservação de seus modos tradicionais de fazer e viver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22C3">
        <w:rPr>
          <w:rFonts w:ascii="Times New Roman" w:eastAsia="Times New Roman" w:hAnsi="Times New Roman" w:cs="Times New Roman"/>
          <w:sz w:val="24"/>
          <w:szCs w:val="24"/>
        </w:rPr>
        <w:t xml:space="preserve">bem como assegurar a proteção do patrimônio histórico e cultural do Estado,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tudo conforme considerações a seguir expostas. </w:t>
      </w:r>
    </w:p>
    <w:p w14:paraId="7F6FA996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9D055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4E4A3BFF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C8DDD" w14:textId="5DC6BBA2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tomou conhecimento, através de e-mail enviado pela Associação dos Carroceiros e Carroceiras Unidos(as) de Belo Horizonte e Região Metropolitana (ACCBM) à Defensoria Especializada em Direitos Humanos, Coletivos e Socioambientais (DPDH), da tramitação de um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rojeto de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(PL 411/2022) que visa reduzir o prazo previsto na Lei </w:t>
      </w:r>
      <w:r w:rsidR="00296650">
        <w:rPr>
          <w:rFonts w:ascii="Times New Roman" w:eastAsia="Times New Roman" w:hAnsi="Times New Roman" w:cs="Times New Roman"/>
          <w:sz w:val="24"/>
          <w:szCs w:val="24"/>
        </w:rPr>
        <w:t xml:space="preserve">Municipal n. </w:t>
      </w:r>
      <w:r>
        <w:rPr>
          <w:rFonts w:ascii="Times New Roman" w:eastAsia="Times New Roman" w:hAnsi="Times New Roman" w:cs="Times New Roman"/>
          <w:sz w:val="24"/>
          <w:szCs w:val="24"/>
        </w:rPr>
        <w:t>11.285</w:t>
      </w:r>
      <w:r w:rsidR="00296650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96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296650">
        <w:rPr>
          <w:rFonts w:ascii="Times New Roman" w:eastAsia="Times New Roman" w:hAnsi="Times New Roman" w:cs="Times New Roman"/>
          <w:sz w:val="24"/>
          <w:szCs w:val="24"/>
        </w:rPr>
        <w:t>a proibição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296650">
        <w:rPr>
          <w:rFonts w:ascii="Times New Roman" w:eastAsia="Times New Roman" w:hAnsi="Times New Roman" w:cs="Times New Roman"/>
          <w:sz w:val="24"/>
          <w:szCs w:val="24"/>
        </w:rPr>
        <w:t>e veículos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tração animal em Belo Horizonte. A ACCBM aduziu que a Comissão Estadual de Povos e Comunidades Tradicionais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(CEPCT)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já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havia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emissão de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ertidão de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utodeclaração da Comunidade Carroceira e ressaltou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, ainda, que no II Encontro Estadual de Povos e Comunidades Tradicionais, foi aprovada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abertura de vaga na referida Comissão,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destinada à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representação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categoria dos carroceiros. A ACCBM informou que a tramitação do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rojeto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supramencionado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transcorreu na Câmara de Vereadores de Belo Horizonte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 nenhum tipo de consulta prévia à Comunidade Carroceira, assim como a tramitação do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rojeto de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que ensejou a Lei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Municipal 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11.258/2021. Tal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institui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Programa de Substituição Gradativa de Veículos de Tração Animal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no Município”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proibindo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a utilização </w:t>
      </w:r>
      <w:r>
        <w:rPr>
          <w:rFonts w:ascii="Times New Roman" w:eastAsia="Times New Roman" w:hAnsi="Times New Roman" w:cs="Times New Roman"/>
          <w:sz w:val="24"/>
          <w:szCs w:val="24"/>
        </w:rPr>
        <w:t>de veículos de tração animal na capital,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em definitivo,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prazo de 10 (dez) anos a contar da data de publicação da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(redação do art. 4º). Por sua vez,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PL 411/2022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tinha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intuito de diminuir o prazo previsto na Lei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Municipal n. </w:t>
      </w:r>
      <w:r>
        <w:rPr>
          <w:rFonts w:ascii="Times New Roman" w:eastAsia="Times New Roman" w:hAnsi="Times New Roman" w:cs="Times New Roman"/>
          <w:sz w:val="24"/>
          <w:szCs w:val="24"/>
        </w:rPr>
        <w:t>11.285/2021, determina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vedação do uso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tais </w:t>
      </w:r>
      <w:r>
        <w:rPr>
          <w:rFonts w:ascii="Times New Roman" w:eastAsia="Times New Roman" w:hAnsi="Times New Roman" w:cs="Times New Roman"/>
          <w:sz w:val="24"/>
          <w:szCs w:val="24"/>
        </w:rPr>
        <w:t>veículos de tração animal a partir de 22 de janeiro de 2026. Em reunião realizada virtualmente no dia 21 de setembro de 2022, com a participação de representantes da ACCBM, da Defensoria Pública de Minas Gerais, do Ministério Público Federal, da Comissão de Direitos Humanos da Câmara de Vereadores de Belo Horizonte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>/MG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da Comissão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Direitos Humanos da Assembleia Legislativa de Minas Gerais</w:t>
      </w:r>
      <w:r w:rsidR="00D222B7">
        <w:rPr>
          <w:rFonts w:ascii="Times New Roman" w:eastAsia="Times New Roman" w:hAnsi="Times New Roman" w:cs="Times New Roman"/>
          <w:sz w:val="24"/>
          <w:szCs w:val="24"/>
        </w:rPr>
        <w:t xml:space="preserve"> (ALMG)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 de professores e pesquisadores da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>Universidade Federal de Minas Gerais (</w:t>
      </w:r>
      <w:r>
        <w:rPr>
          <w:rFonts w:ascii="Times New Roman" w:eastAsia="Times New Roman" w:hAnsi="Times New Roman" w:cs="Times New Roman"/>
          <w:sz w:val="24"/>
          <w:szCs w:val="24"/>
        </w:rPr>
        <w:t>UFMG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foram narrados, pelos representantes da Comunidade Carroceira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episódios de apreensões ilegais de cavalos dos carroceiros por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 parte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uma ativista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em exercício irregular do poder de polícia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, além de ter sido descrito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tal ativista faz denúncias de caráter preconceituoso contra os carroceiros, instigando o ódio contra a comunidade. Salientaram, ademais, que o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>tratamento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dado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pelos carroceiros aos animais é diligente e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>cuidadoso, sendo que tal zelo com os cavalos integra, inclusive, a tradicionalidade de seus modos de fazer e viver.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>Descreveram, ainda,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nunca falta alimento aos cavalos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que não procedem as denúncias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de maus-tratos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realizadas pela ativista e por ONGs de defesa dos direitos dos animais. </w:t>
      </w:r>
      <w:r w:rsidR="00A40C4B">
        <w:rPr>
          <w:rFonts w:ascii="Times New Roman" w:eastAsia="Times New Roman" w:hAnsi="Times New Roman" w:cs="Times New Roman"/>
          <w:sz w:val="24"/>
          <w:szCs w:val="24"/>
        </w:rPr>
        <w:t xml:space="preserve">Após a referida reunião, sobreveio a notícia do arquivamento do PL 411/2022, no âmbito da Câmara de Vereadores de Belo Horizonte. Contudo, logo em seguida, difundiu-se a informação de que a referida Casa Legislativa Municipal havia aprovado, em 1º turno, </w:t>
      </w:r>
      <w:r w:rsidR="00DB7803">
        <w:rPr>
          <w:rFonts w:ascii="Times New Roman" w:eastAsia="Times New Roman" w:hAnsi="Times New Roman" w:cs="Times New Roman"/>
          <w:sz w:val="24"/>
          <w:szCs w:val="24"/>
        </w:rPr>
        <w:t>novo Projeto de Lei – PL 545/2023, que tem redação e objetivo similares ao PL 411/2022, uma vez que visa igualmente à proibição do uso</w:t>
      </w:r>
      <w:r w:rsidR="00DB7803" w:rsidRPr="00DB7803">
        <w:rPr>
          <w:rFonts w:ascii="Times New Roman" w:eastAsia="Times New Roman" w:hAnsi="Times New Roman" w:cs="Times New Roman"/>
          <w:sz w:val="24"/>
          <w:szCs w:val="24"/>
        </w:rPr>
        <w:t xml:space="preserve"> de veículos de tração animal</w:t>
      </w:r>
      <w:r w:rsidR="00DB7803">
        <w:rPr>
          <w:rFonts w:ascii="Times New Roman" w:eastAsia="Times New Roman" w:hAnsi="Times New Roman" w:cs="Times New Roman"/>
          <w:sz w:val="24"/>
          <w:szCs w:val="24"/>
        </w:rPr>
        <w:t xml:space="preserve"> na capital</w:t>
      </w:r>
      <w:r w:rsidR="00DB7803" w:rsidRPr="00DB7803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="00DB7803">
        <w:rPr>
          <w:rFonts w:ascii="Times New Roman" w:eastAsia="Times New Roman" w:hAnsi="Times New Roman" w:cs="Times New Roman"/>
          <w:sz w:val="24"/>
          <w:szCs w:val="24"/>
        </w:rPr>
        <w:t xml:space="preserve">caráter </w:t>
      </w:r>
      <w:r w:rsidR="00DB7803" w:rsidRPr="00DB7803">
        <w:rPr>
          <w:rFonts w:ascii="Times New Roman" w:eastAsia="Times New Roman" w:hAnsi="Times New Roman" w:cs="Times New Roman"/>
          <w:sz w:val="24"/>
          <w:szCs w:val="24"/>
        </w:rPr>
        <w:t>definitivo, a partir de janeiro de 2026</w:t>
      </w:r>
      <w:r w:rsidR="00DB78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B2429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C7720AB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12D2FEA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3FE26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Estado de Minas Gerais </w:t>
      </w:r>
    </w:p>
    <w:p w14:paraId="7429D447" w14:textId="179EDF52" w:rsidR="00DB780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B7803">
        <w:rPr>
          <w:rFonts w:ascii="Times New Roman" w:eastAsia="Times New Roman" w:hAnsi="Times New Roman" w:cs="Times New Roman"/>
          <w:sz w:val="24"/>
          <w:szCs w:val="24"/>
        </w:rPr>
        <w:t>Prefeitura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Belo Horizonte</w:t>
      </w:r>
    </w:p>
    <w:p w14:paraId="2189BEFD" w14:textId="4E34B351" w:rsidR="000C230B" w:rsidRDefault="00DB7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Câmara de Vereadores de Belo Horizonte </w:t>
      </w:r>
    </w:p>
    <w:p w14:paraId="0BBFE1F1" w14:textId="09E4848C" w:rsidR="004F0DDF" w:rsidRDefault="004F0D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Comissão Estadual de Povos e Comunidades Tradicionais</w:t>
      </w:r>
    </w:p>
    <w:p w14:paraId="6C516BAE" w14:textId="0329D013" w:rsidR="004F0DDF" w:rsidRDefault="004F0D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Associação dos Carroceiros Unidos de Belo Horizonte e Região Metropolitana</w:t>
      </w:r>
    </w:p>
    <w:p w14:paraId="7B6C3955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05E87" w14:textId="1149179F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</w:t>
      </w:r>
      <w:r w:rsidRPr="00554E49">
        <w:rPr>
          <w:rFonts w:ascii="Times New Roman" w:eastAsia="Times New Roman" w:hAnsi="Times New Roman" w:cs="Times New Roman"/>
          <w:bCs/>
          <w:sz w:val="24"/>
          <w:szCs w:val="24"/>
        </w:rPr>
        <w:t xml:space="preserve">incumbindo-lhe, como expressão e instrumento do regime democrático, fundamentalmente, a orientação jurídica, a promoção dos direitos humanos e a defesa, em todos os graus, judicial e extrajudicial, dos direitos individuais e coletivos, </w:t>
      </w:r>
      <w:r w:rsidRPr="00554E4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de forma integral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gratuita, aos necessitados, na forma do art. 5º, </w:t>
      </w:r>
      <w:r w:rsidR="004F0DDF">
        <w:rPr>
          <w:rFonts w:ascii="Times New Roman" w:eastAsia="Times New Roman" w:hAnsi="Times New Roman" w:cs="Times New Roman"/>
          <w:sz w:val="24"/>
          <w:szCs w:val="24"/>
        </w:rPr>
        <w:t>LXXIV,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Federal e do art. 1º, da Lei Complementar Federal 80/1994;</w:t>
      </w:r>
    </w:p>
    <w:p w14:paraId="17972335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E6AA5" w14:textId="2EC49D6E" w:rsidR="000C230B" w:rsidRPr="00816248" w:rsidRDefault="00000000">
      <w:pPr>
        <w:spacing w:after="0" w:line="360" w:lineRule="auto"/>
        <w:jc w:val="both"/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</w:pP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Quanto </w:t>
      </w:r>
      <w:r w:rsid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a</w:t>
      </w:r>
      <w:r w:rsidR="00816248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os Direitos </w:t>
      </w:r>
      <w:r w:rsid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e</w:t>
      </w:r>
      <w:r w:rsidR="00816248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 Garantias </w:t>
      </w:r>
      <w:r w:rsid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d</w:t>
      </w:r>
      <w:r w:rsidR="00816248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os </w:t>
      </w:r>
      <w:r w:rsidR="009F4C6F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P</w:t>
      </w: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ovos </w:t>
      </w:r>
      <w:r w:rsid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e</w:t>
      </w:r>
      <w:r w:rsidR="00816248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 </w:t>
      </w:r>
      <w:r w:rsidR="009F4C6F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C</w:t>
      </w: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omunidades </w:t>
      </w:r>
      <w:r w:rsidR="009F4C6F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T</w:t>
      </w: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radicionais</w:t>
      </w:r>
    </w:p>
    <w:p w14:paraId="3BBE03E0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76A3E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554E49">
        <w:rPr>
          <w:rFonts w:ascii="Times New Roman" w:eastAsia="Times New Roman" w:hAnsi="Times New Roman" w:cs="Times New Roman"/>
          <w:sz w:val="24"/>
          <w:szCs w:val="24"/>
        </w:rPr>
        <w:t>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1º, incisos II e III, e art. 3º, incisos I e IV, da CRFB/1988);</w:t>
      </w:r>
    </w:p>
    <w:p w14:paraId="48A37309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1080C" w14:textId="6528595D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Artigo 2°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Convenção 169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O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>rganização Internacional do Trabalho (OIT)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Povos Indígenas e Tribais prevê que 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E49">
        <w:rPr>
          <w:rFonts w:ascii="Times New Roman" w:eastAsia="Times New Roman" w:hAnsi="Times New Roman" w:cs="Times New Roman"/>
          <w:b/>
          <w:sz w:val="24"/>
          <w:szCs w:val="24"/>
        </w:rPr>
        <w:t>governos deverão assumir a responsabilidade de desenvolver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com a participação dos povos interessados, uma ação coordenada e sistemática com vistas a proteger os direitos desses povos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>incluindo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medidas que </w:t>
      </w:r>
      <w:r w:rsidRPr="00554E49">
        <w:rPr>
          <w:rFonts w:ascii="Times New Roman" w:eastAsia="Times New Roman" w:hAnsi="Times New Roman" w:cs="Times New Roman"/>
          <w:b/>
          <w:bCs/>
          <w:sz w:val="24"/>
          <w:szCs w:val="24"/>
        </w:rPr>
        <w:t>promovam a plena efetividade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dos direitos sociais, econômicos e culturais desses povos, respeitando sua identidade social e cultural, os seus costumes e tradições, e suas instituições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E1E7DCB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DE2FB" w14:textId="7049FD85" w:rsidR="006A4AED" w:rsidRDefault="006A4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Artigo 5°, da Convenção 169 da OIT estabelece 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>a obrigação de</w:t>
      </w:r>
      <w:r w:rsidRPr="006A4AED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>rem</w:t>
      </w:r>
      <w:r w:rsidRPr="006A4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4AC">
        <w:rPr>
          <w:rFonts w:ascii="Times New Roman" w:eastAsia="Times New Roman" w:hAnsi="Times New Roman" w:cs="Times New Roman"/>
          <w:b/>
          <w:bCs/>
          <w:sz w:val="24"/>
          <w:szCs w:val="24"/>
        </w:rPr>
        <w:t>reconhecidos e protegidos os valores e práticas sociais, culturais</w:t>
      </w:r>
      <w:r w:rsidR="007134AC" w:rsidRPr="007134A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713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religiosos e espirituais próprios dos po</w:t>
      </w:r>
      <w:r w:rsidR="007134AC" w:rsidRPr="007134AC">
        <w:rPr>
          <w:rFonts w:ascii="Times New Roman" w:eastAsia="Times New Roman" w:hAnsi="Times New Roman" w:cs="Times New Roman"/>
          <w:b/>
          <w:bCs/>
          <w:sz w:val="24"/>
          <w:szCs w:val="24"/>
        </w:rPr>
        <w:t>vos e comunidades tradicionais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34AC" w:rsidRPr="007134AC">
        <w:rPr>
          <w:rFonts w:ascii="Times New Roman" w:eastAsia="Times New Roman" w:hAnsi="Times New Roman" w:cs="Times New Roman"/>
          <w:b/>
          <w:bCs/>
          <w:sz w:val="24"/>
          <w:szCs w:val="24"/>
        </w:rPr>
        <w:t>devendo ser respeitada a integridade de seus valores, práticas e instituições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7749D0" w14:textId="77777777" w:rsidR="006A4AED" w:rsidRDefault="006A4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A01E1" w14:textId="58D6B565" w:rsidR="006A4AE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Artigo 6°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da Convenção n° 169</w:t>
      </w:r>
      <w:r w:rsidR="00554E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OIT, que dispõe que os governos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deverão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consultar os povos interessados, mediante procedimentos apropriados e, particularmente, através de suas instituições representativas, cada vez que sejam previstas medidas legislativas ou administrativas suscetíveis de afetá-los diretamente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 xml:space="preserve"> (item 1, alínea “a”);</w:t>
      </w:r>
    </w:p>
    <w:p w14:paraId="41040AA6" w14:textId="77777777" w:rsidR="006A4AED" w:rsidRDefault="006A4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C8886" w14:textId="75F5960C" w:rsidR="000C230B" w:rsidRDefault="006A4A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ainda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Artigo 6°, da Convenção n° 169 da OIT, 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>prevê o dever estatal de estabelecer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eios </w:t>
      </w:r>
      <w:r w:rsidR="00554E49">
        <w:rPr>
          <w:rFonts w:ascii="Times New Roman" w:eastAsia="Times New Roman" w:hAnsi="Times New Roman" w:cs="Times New Roman"/>
          <w:b/>
          <w:sz w:val="24"/>
          <w:szCs w:val="24"/>
        </w:rPr>
        <w:t>pelos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quais esses povos interessados possam participar livremente da adoção de decisões em instituições efetivas ou organismos administrativos e de outra natureza</w:t>
      </w:r>
      <w:r w:rsidR="007134A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responsáveis pelas políticas e programas que lhes sejam concernentes</w:t>
      </w:r>
      <w:r w:rsidR="007134AC">
        <w:rPr>
          <w:rFonts w:ascii="Times New Roman" w:eastAsia="Times New Roman" w:hAnsi="Times New Roman" w:cs="Times New Roman"/>
          <w:sz w:val="24"/>
          <w:szCs w:val="24"/>
        </w:rPr>
        <w:t xml:space="preserve"> (item 1, alínea “b”);</w:t>
      </w:r>
    </w:p>
    <w:p w14:paraId="3B9E43DD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3E31" w14:textId="2FB764D3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Decreto Federal n° 6.040</w:t>
      </w:r>
      <w:r w:rsidR="009F4C6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2007, que instituiu a Política Nacional de Desenvolvimento Sustentável dos Povos e Comunidades Tradicionais (PNPCT) e</w:t>
      </w:r>
      <w:r w:rsidR="009F4C6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prevê, como </w:t>
      </w:r>
      <w:r w:rsidRPr="009F4C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 principal,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promover o desenvolvimento sustentável dos Povos e Comunidades Tradicionais, com ênfase no reconhecimento, fortalecimento e garantia dos seus direitos territoriais, sociais, ambientais, econômicos e culturais, com respeito e valorização à sua identidade, suas formas de organização e suas instituições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sendo </w:t>
      </w:r>
      <w:r w:rsidRPr="009F4C6F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 específicos de tal política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econhecer, proteger e promover os direitos d</w:t>
      </w:r>
      <w:r w:rsidR="009F4C6F">
        <w:rPr>
          <w:rFonts w:ascii="Times New Roman" w:eastAsia="Times New Roman" w:hAnsi="Times New Roman" w:cs="Times New Roman"/>
          <w:b/>
          <w:sz w:val="24"/>
          <w:szCs w:val="24"/>
        </w:rPr>
        <w:t>essas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comunidades sobre os seus conhecimentos, práticas e usos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entre outros (art. 2° e art. 3°, inciso XV do Decreto n° 6.040/07); </w:t>
      </w:r>
    </w:p>
    <w:p w14:paraId="6EC4AD86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1D1B6" w14:textId="65909EDA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Estadual n° 21.147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2014, que institui a Política Estadual para o Desenvolvimento Sustentável dos Povos e Comunidades Tradicionais de Minas Gerais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 xml:space="preserve"> e que prevê, </w:t>
      </w:r>
      <w:r>
        <w:rPr>
          <w:rFonts w:ascii="Times New Roman" w:eastAsia="Times New Roman" w:hAnsi="Times New Roman" w:cs="Times New Roman"/>
          <w:sz w:val="24"/>
          <w:szCs w:val="24"/>
        </w:rPr>
        <w:t>em seu art. 4°,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 xml:space="preserve"> incisos III e XIV,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entre os </w:t>
      </w:r>
      <w:r w:rsidRPr="00873B99">
        <w:rPr>
          <w:rFonts w:ascii="Times New Roman" w:eastAsia="Times New Roman" w:hAnsi="Times New Roman" w:cs="Times New Roman"/>
          <w:sz w:val="24"/>
          <w:szCs w:val="24"/>
        </w:rPr>
        <w:t>objetivos específicos de referida política,</w:t>
      </w:r>
      <w:r w:rsidR="00873B99" w:rsidRPr="00873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proteger e valorizar os direitos d</w:t>
      </w:r>
      <w:r w:rsidR="00873B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tais </w:t>
      </w:r>
      <w:r w:rsidR="00873B99" w:rsidRPr="00873B99">
        <w:rPr>
          <w:rFonts w:ascii="Times New Roman" w:eastAsia="Times New Roman" w:hAnsi="Times New Roman" w:cs="Times New Roman"/>
          <w:b/>
          <w:bCs/>
          <w:sz w:val="24"/>
          <w:szCs w:val="24"/>
        </w:rPr>
        <w:t>povos e comunidades tradicionais sobre seus conhecimentos, práticas e usos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promover o acesso às políticas públicas e a participação de seus representantes nas instâncias de deliberação, fiscalização e controle social das ações governamentais, especialmente no que se refere a projetos que envolvam direitos e interesses dessas populações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16F97A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D864C" w14:textId="47D84673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criação, pelo Decreto Estadual n° 46.671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2014, da Comissão Estadual para o Desenvolvimento Sustentável dos Povos e Comunidades Tradicionais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Minas Gerais</w:t>
      </w:r>
      <w:r w:rsidR="00873B99">
        <w:rPr>
          <w:rFonts w:ascii="Times New Roman" w:eastAsia="Times New Roman" w:hAnsi="Times New Roman" w:cs="Times New Roman"/>
          <w:sz w:val="24"/>
          <w:szCs w:val="24"/>
        </w:rPr>
        <w:t xml:space="preserve"> (CEPCT),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o objetivo de coordenar e implementar a Política Estadual para o Desenvolvimento Sustentável dos Povos e Comunidades Tradicionais, de que trata a Lei Estadual nº 21.147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2014; </w:t>
      </w:r>
    </w:p>
    <w:p w14:paraId="4AC60EAA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D6FBE" w14:textId="7032E8D1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de competência de referida Comissão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 xml:space="preserve"> (CEPCT)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propor as ações necessárias para articulação, execução e consolidação de políticas relevantes para o desenvolvimento sustentável dos povos e comunidades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estimulando a participação da sociedade civil, com especial atenção ao atendimento das situações que exijam providências especiais ou de caráter emergencial, bem como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identificar a necessidade e propor a criação ou modificação de instrumentos necessários à implementação de políticas relevantes para o desenvolvimento sustentável dos povos e comunidades tradicionais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2°, incisos II e III, Decreto Estadual 46.671/14); </w:t>
      </w:r>
    </w:p>
    <w:p w14:paraId="092499A7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75609" w14:textId="355544B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art. 2°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 xml:space="preserve">, parágrafo único, </w:t>
      </w:r>
      <w:r>
        <w:rPr>
          <w:rFonts w:ascii="Times New Roman" w:eastAsia="Times New Roman" w:hAnsi="Times New Roman" w:cs="Times New Roman"/>
          <w:sz w:val="24"/>
          <w:szCs w:val="24"/>
        </w:rPr>
        <w:t>do Decreto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 xml:space="preserve"> Estadual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46.671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2014, que dispõe que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Plano Estadual para o Desenvolvimento Sustentável dos Povos e Comunidades Tradicionais de Minas Gerais deverá ser construído de forma articulada em todas as suas etapas, mediante diálogo permanente com as comunidades envolvidas, suas organizações representativas e de apoio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contemplando o diagnóstico da realidade </w:t>
      </w:r>
      <w:r w:rsidR="0094655E">
        <w:rPr>
          <w:rFonts w:ascii="Times New Roman" w:eastAsia="Times New Roman" w:hAnsi="Times New Roman" w:cs="Times New Roman"/>
          <w:sz w:val="24"/>
          <w:szCs w:val="24"/>
        </w:rPr>
        <w:t>de 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povos e comunidades de Minas Gerais;</w:t>
      </w:r>
    </w:p>
    <w:p w14:paraId="7FB2820C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414B8" w14:textId="4E4AA2ED" w:rsidR="000C230B" w:rsidRPr="00816248" w:rsidRDefault="00000000">
      <w:pPr>
        <w:spacing w:after="0" w:line="360" w:lineRule="auto"/>
        <w:jc w:val="both"/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</w:pP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Quanto </w:t>
      </w:r>
      <w:r w:rsidR="00816248"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à Proteção do Patrimônio Cultural</w:t>
      </w:r>
    </w:p>
    <w:p w14:paraId="2F0BDB8B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23158" w14:textId="0F2B722B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Estado é responsável por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a todos o pleno exercício dos direitos culturais e acesso às fontes da cultura nacional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0E9B"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>devendo</w:t>
      </w:r>
      <w:r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apoiar e incentivar a valorização e a difusão das manifestaç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 culturais</w:t>
      </w:r>
      <w:r w:rsidR="00870E9B">
        <w:rPr>
          <w:rFonts w:ascii="Times New Roman" w:eastAsia="Times New Roman" w:hAnsi="Times New Roman" w:cs="Times New Roman"/>
          <w:b/>
          <w:sz w:val="24"/>
          <w:szCs w:val="24"/>
        </w:rPr>
        <w:t>, bem como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proteger as manifestações das culturas populare</w:t>
      </w:r>
      <w:r w:rsidR="00870E9B">
        <w:rPr>
          <w:rFonts w:ascii="Times New Roman" w:eastAsia="Times New Roman" w:hAnsi="Times New Roman" w:cs="Times New Roman"/>
          <w:b/>
          <w:sz w:val="24"/>
          <w:szCs w:val="24"/>
        </w:rPr>
        <w:t xml:space="preserve">s e de </w:t>
      </w:r>
      <w:r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>grupos participantes do processo civilizatório nacional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215, </w:t>
      </w:r>
      <w:r w:rsidRPr="00870E9B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§ 1° da CRFB/1988); </w:t>
      </w:r>
    </w:p>
    <w:p w14:paraId="0A5BF29C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7050C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Pr="00870E9B">
        <w:rPr>
          <w:rFonts w:ascii="Times New Roman" w:eastAsia="Times New Roman" w:hAnsi="Times New Roman" w:cs="Times New Roman"/>
          <w:bCs/>
          <w:sz w:val="24"/>
          <w:szCs w:val="24"/>
        </w:rPr>
        <w:t>constituem patrimônio cultural brasileiro 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bens de natureza material e imaterial, tomados individualmente ou em conjunto, portadores de referência à identidade, à ação, à memória dos diferentes grupos formadores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sociedade brasileira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>nos quais se incluem, entre outros, os modos de criar, fazer e viver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216, </w:t>
      </w:r>
      <w:r w:rsidRPr="00870E9B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 II da CRFB/1988);</w:t>
      </w:r>
    </w:p>
    <w:p w14:paraId="65093D94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C34A7" w14:textId="7287B6D8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216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, § 1º,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CRFB/1988,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prevê que </w:t>
      </w:r>
      <w:r w:rsidR="00870E9B"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>cumpre a</w:t>
      </w:r>
      <w:r w:rsidRPr="00870E9B">
        <w:rPr>
          <w:rFonts w:ascii="Times New Roman" w:eastAsia="Times New Roman" w:hAnsi="Times New Roman" w:cs="Times New Roman"/>
          <w:b/>
          <w:bCs/>
          <w:sz w:val="24"/>
          <w:szCs w:val="24"/>
        </w:rPr>
        <w:t>o Poder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Público, com a colaboração da comunidade,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promover e proteger o patrimônio cultural brasileiro</w:t>
      </w:r>
      <w:r w:rsidR="00870E9B">
        <w:rPr>
          <w:rFonts w:ascii="Times New Roman" w:eastAsia="Times New Roman" w:hAnsi="Times New Roman" w:cs="Times New Roman"/>
          <w:b/>
          <w:sz w:val="24"/>
          <w:szCs w:val="24"/>
        </w:rPr>
        <w:t>, mediante todas as formas de acautelamento e preservação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CCB4FF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87BAB" w14:textId="76D72FFC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 xml:space="preserve">Federal 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12.343/2010, que institui o </w:t>
      </w:r>
      <w:r w:rsidRPr="00870E9B">
        <w:rPr>
          <w:rFonts w:ascii="Times New Roman" w:eastAsia="Times New Roman" w:hAnsi="Times New Roman" w:cs="Times New Roman"/>
          <w:bCs/>
          <w:sz w:val="24"/>
          <w:szCs w:val="24"/>
        </w:rPr>
        <w:t>Plano Nacional de Cultura</w:t>
      </w:r>
      <w:r>
        <w:rPr>
          <w:rFonts w:ascii="Times New Roman" w:eastAsia="Times New Roman" w:hAnsi="Times New Roman" w:cs="Times New Roman"/>
          <w:sz w:val="24"/>
          <w:szCs w:val="24"/>
        </w:rPr>
        <w:t>, com duração de quatorze anos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, prevendo</w:t>
      </w:r>
      <w:r>
        <w:rPr>
          <w:rFonts w:ascii="Times New Roman" w:eastAsia="Times New Roman" w:hAnsi="Times New Roman" w:cs="Times New Roman"/>
          <w:sz w:val="24"/>
          <w:szCs w:val="24"/>
        </w:rPr>
        <w:t>, em seu art. 2°, os objetivos do respectivo Plano, sendo um deles,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reconhecimento e valorização da diversidade cultural, étnica e regional brasileira e da valorização e difusão de criações artísticas e bens culturais, entre outros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BD3194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3C851" w14:textId="78B14846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 xml:space="preserve"> conteúdo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207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IV e VII,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Constituição 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Minas Gerais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 (CEMG)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em diálogo com o art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215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870E9B">
        <w:rPr>
          <w:rFonts w:ascii="Times New Roman" w:eastAsia="Times New Roman" w:hAnsi="Times New Roman" w:cs="Times New Roman"/>
          <w:sz w:val="24"/>
          <w:szCs w:val="24"/>
        </w:rPr>
        <w:t>CRFB/1988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prevê o dever do Poder Público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garantir a todos o pleno exercício dos direitos culturais, para o que incentivará, valorizará e difundirá as manifestações culturais da comunidade mineira</w:t>
      </w:r>
      <w:r w:rsidRPr="0081624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 mediante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816248">
        <w:rPr>
          <w:rFonts w:ascii="Times New Roman" w:eastAsia="Times New Roman" w:hAnsi="Times New Roman" w:cs="Times New Roman"/>
          <w:b/>
          <w:bCs/>
          <w:sz w:val="24"/>
          <w:szCs w:val="24"/>
        </w:rPr>
        <w:t>adoção de medidas adequadas à identificação, proteção, conservação, revalorização e recuperação do patrimônio cultural, histórico, natural e científico do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bem como pelo </w:t>
      </w:r>
      <w:r w:rsidR="00816248" w:rsidRPr="00816248">
        <w:rPr>
          <w:rFonts w:ascii="Times New Roman" w:eastAsia="Times New Roman" w:hAnsi="Times New Roman" w:cs="Times New Roman"/>
          <w:b/>
          <w:bCs/>
          <w:sz w:val="24"/>
          <w:szCs w:val="24"/>
        </w:rPr>
        <w:t>estímulo às atividades de caráter cultural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C8A531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61381" w14:textId="562DBD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art. 208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248" w:rsidRPr="00816248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 e inciso II,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Constituição do Estado de Minas Gerais,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em consonância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 texto do art. 216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CRFB/1988,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estabelece que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patrimônio cultural mineiro é formado por bens de natureza material e imaterial, tomados individualmente ou em conjunto, que contenham referência à identidade, à ação e à memória dos diferentes grupos formadores da sociedade mineira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248" w:rsidRPr="00816248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816248">
        <w:rPr>
          <w:rFonts w:ascii="Times New Roman" w:eastAsia="Times New Roman" w:hAnsi="Times New Roman" w:cs="Times New Roman"/>
          <w:b/>
          <w:bCs/>
          <w:sz w:val="24"/>
          <w:szCs w:val="24"/>
        </w:rPr>
        <w:t>entre os quais se incluem</w:t>
      </w:r>
      <w:r w:rsidR="00816248" w:rsidRPr="00816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os modos de criar, fazer e viver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D7195F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545B9" w14:textId="1978CB2D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Lei Estadual 5.775/1971, que 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cria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Instituto Estadual do Patrimônio Histórico e Artístico (IEPHA/MG)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como o art. 2°</w:t>
      </w:r>
      <w:r w:rsidR="00816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Decreto Estadual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47.921/2020, que estabelece como </w:t>
      </w:r>
      <w:r w:rsidR="00816248">
        <w:rPr>
          <w:rFonts w:ascii="Times New Roman" w:eastAsia="Times New Roman" w:hAnsi="Times New Roman" w:cs="Times New Roman"/>
          <w:b/>
          <w:sz w:val="24"/>
          <w:szCs w:val="24"/>
        </w:rPr>
        <w:t>atribuições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IEPHA-MG pesquisar, identificar, proteger e promover o patrimônio cultural no Estado, assim entendidos os bens de natureza material e imaterial que contenham referência à identidade, à ação e à memória dos diferentes grupos formadores da sociedade mineira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disposto na Constituição da República e na Constituição do Estado;</w:t>
      </w:r>
    </w:p>
    <w:p w14:paraId="568C6BB4" w14:textId="77777777" w:rsidR="00816248" w:rsidRDefault="00816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3E811" w14:textId="58AD041E" w:rsidR="00816248" w:rsidRPr="00816248" w:rsidRDefault="00816248" w:rsidP="00816248">
      <w:pPr>
        <w:spacing w:after="0" w:line="360" w:lineRule="auto"/>
        <w:jc w:val="both"/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</w:pP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 xml:space="preserve">Quanto à </w:t>
      </w:r>
      <w:r w:rsidR="00DA0021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Livre Iniciativa e ao Trabalho</w:t>
      </w:r>
    </w:p>
    <w:p w14:paraId="58CD5432" w14:textId="77777777" w:rsidR="00816248" w:rsidRDefault="00816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988AD" w14:textId="77777777" w:rsidR="00DA0021" w:rsidRDefault="00DA0021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Federal prevê a </w:t>
      </w:r>
      <w:r w:rsidRPr="00DA0021">
        <w:rPr>
          <w:rFonts w:ascii="Times New Roman" w:eastAsia="Times New Roman" w:hAnsi="Times New Roman" w:cs="Times New Roman"/>
          <w:b/>
          <w:bCs/>
          <w:sz w:val="24"/>
          <w:szCs w:val="24"/>
        </w:rPr>
        <w:t>livre iniciativa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um dos fundamentos da República Federativa do Brasil, nos termos do art. 1°, IV, da CRFB/88;</w:t>
      </w:r>
    </w:p>
    <w:p w14:paraId="113A6D8E" w14:textId="77777777" w:rsidR="00DA0021" w:rsidRDefault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9B688" w14:textId="6221D43D" w:rsidR="00DA0021" w:rsidRDefault="00DA0021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5º, da Constituição Federal, está previsto o </w:t>
      </w:r>
      <w:r w:rsidRPr="00DA0021">
        <w:rPr>
          <w:rFonts w:ascii="Times New Roman" w:eastAsia="Times New Roman" w:hAnsi="Times New Roman" w:cs="Times New Roman"/>
          <w:b/>
          <w:bCs/>
          <w:sz w:val="24"/>
          <w:szCs w:val="24"/>
        </w:rPr>
        <w:t>direito ao livre exercício de qualquer trabalho, ofício ou profissão</w:t>
      </w:r>
      <w:r>
        <w:rPr>
          <w:rFonts w:ascii="Times New Roman" w:eastAsia="Times New Roman" w:hAnsi="Times New Roman" w:cs="Times New Roman"/>
          <w:sz w:val="24"/>
          <w:szCs w:val="24"/>
        </w:rPr>
        <w:t>, atendidas as qualificações profissionais que a lei estabelecer (art. 5°, incisos XIII, da CRFB/88);</w:t>
      </w:r>
    </w:p>
    <w:p w14:paraId="5EE477ED" w14:textId="77777777" w:rsidR="00DA0021" w:rsidRDefault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154EB" w14:textId="1D409BB8" w:rsidR="00DA0021" w:rsidRDefault="00DA0021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</w:t>
      </w:r>
      <w:r w:rsidRPr="00DA0021">
        <w:rPr>
          <w:rFonts w:ascii="Times New Roman" w:eastAsia="Times New Roman" w:hAnsi="Times New Roman" w:cs="Times New Roman"/>
          <w:b/>
          <w:bCs/>
          <w:sz w:val="24"/>
          <w:szCs w:val="24"/>
        </w:rPr>
        <w:t>ordem econômica, fundada na valorização do trabalho humano e na livre iniciativa, tem por fim assegurar a todos a existência digna, conforme os ditames da justiça 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170, </w:t>
      </w:r>
      <w:r w:rsidRPr="00DA0021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CRFB/88);</w:t>
      </w:r>
    </w:p>
    <w:p w14:paraId="0CBA91EF" w14:textId="77777777" w:rsidR="00DA0021" w:rsidRDefault="00DA0021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732C9" w14:textId="77777777" w:rsidR="00DA0021" w:rsidRDefault="00DA0021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do Estado de Minas Gerais prevê, em seu art. 1°, § 2°, a organização do Estado não apenas por referido diploma, mas também observando os </w:t>
      </w:r>
      <w:r w:rsidRPr="00DA0021">
        <w:rPr>
          <w:rFonts w:ascii="Times New Roman" w:eastAsia="Times New Roman" w:hAnsi="Times New Roman" w:cs="Times New Roman"/>
          <w:b/>
          <w:bCs/>
          <w:sz w:val="24"/>
          <w:szCs w:val="24"/>
        </w:rPr>
        <w:t>princípios constitucionais da República, assegurando direitos e garantias fundamentais que a Constituição Federal confere aos brasileiros e aos estrangeiros residentes no país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4°,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Constituição do Estado de Minas Gerais);</w:t>
      </w:r>
    </w:p>
    <w:p w14:paraId="2248C02A" w14:textId="77777777" w:rsidR="003D676C" w:rsidRDefault="003D676C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17D59" w14:textId="5BDDA682" w:rsidR="003D676C" w:rsidRPr="00816248" w:rsidRDefault="003D676C" w:rsidP="003D676C">
      <w:pPr>
        <w:spacing w:after="0" w:line="360" w:lineRule="auto"/>
        <w:jc w:val="both"/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</w:pPr>
      <w:r w:rsidRPr="00816248"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Quanto à</w:t>
      </w:r>
      <w:r>
        <w:rPr>
          <w:rFonts w:ascii="Times New Roman Negrito" w:eastAsia="Times New Roman" w:hAnsi="Times New Roman Negrito" w:cs="Times New Roman"/>
          <w:b/>
          <w:smallCaps/>
          <w:sz w:val="24"/>
          <w:szCs w:val="24"/>
          <w:u w:val="single"/>
        </w:rPr>
        <w:t>s Regras de Competência e o Respeito ao Pacto Federativo</w:t>
      </w:r>
    </w:p>
    <w:p w14:paraId="25990D57" w14:textId="77777777" w:rsidR="003D676C" w:rsidRDefault="003D676C" w:rsidP="00DA00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0BFEB" w14:textId="5EACF051" w:rsidR="000C230B" w:rsidRDefault="003D6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21, inciso XX, da CRFB/1988, estabelece ser da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competência da União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instituir diretrizes para o desenvolvimento urbano, inclusive habitação, saneamento básico e transportes urbanos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e que o art. 22, incisos IX e XI, também da CRFB/1988, prevê a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competência privativa da União para legislar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diretrizes da política nacional de transportes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e sobre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trânsito e transporte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240BFCEC" w14:textId="77777777" w:rsidR="003D676C" w:rsidRDefault="003D6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3D3AC" w14:textId="52C41B62" w:rsidR="003D676C" w:rsidRDefault="003D6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Constituição Federal, ao estabelecer as regras de distribuição de competência que orientam o Pacto Federativo entre União, Estados e Municípios, previu aos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Municípios a competência apenas para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egislar sobre assuntos de interesse 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suplementar a legislação federal e a estadual no que couber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conferindo aos Município, ainda, no que toca aos transportes, apenas a competência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3D676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organizar e prestar, diretamente ou sob regime de concessão ou permissão, os serviços públicos de interesse local, incluído o de transporte coletivo</w:t>
      </w:r>
      <w:r>
        <w:rPr>
          <w:rFonts w:ascii="Times New Roman" w:eastAsia="Times New Roman" w:hAnsi="Times New Roman" w:cs="Times New Roman"/>
          <w:sz w:val="24"/>
          <w:szCs w:val="24"/>
        </w:rPr>
        <w:t>”, nos termos do art. 30, inciso I, II e V, da CRFB/1988</w:t>
      </w:r>
      <w:r w:rsidR="0037146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D76C2E" w14:textId="77777777" w:rsidR="003D676C" w:rsidRDefault="003D67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F81EB" w14:textId="283A5A01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</w:t>
      </w:r>
      <w:r w:rsidR="00371463">
        <w:rPr>
          <w:rFonts w:ascii="Times New Roman" w:eastAsia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Pr="00816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promover ação civil pública e todas as espécies de ações capazes de propiciar a adequada tutela dos direitos difusos, coletivos ou individuais homogêneos quando o resultado da demanda puder beneficiar grupo de pessoas hipossuficientes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816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073815A0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25B44" w14:textId="54246A23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de adotar providências para </w:t>
      </w:r>
      <w:r w:rsidR="00DA002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salvaguarda dos direitos da Comunidade </w:t>
      </w:r>
      <w:r w:rsidR="00DA0021">
        <w:rPr>
          <w:rFonts w:ascii="Times New Roman" w:eastAsia="Times New Roman" w:hAnsi="Times New Roman" w:cs="Times New Roman"/>
          <w:sz w:val="24"/>
          <w:szCs w:val="24"/>
        </w:rPr>
        <w:t xml:space="preserve">Tradicional </w:t>
      </w:r>
      <w:r>
        <w:rPr>
          <w:rFonts w:ascii="Times New Roman" w:eastAsia="Times New Roman" w:hAnsi="Times New Roman" w:cs="Times New Roman"/>
          <w:sz w:val="24"/>
          <w:szCs w:val="24"/>
        </w:rPr>
        <w:t>Carroceira</w:t>
      </w:r>
      <w:r w:rsidR="00DA0021">
        <w:rPr>
          <w:rFonts w:ascii="Times New Roman" w:eastAsia="Times New Roman" w:hAnsi="Times New Roman" w:cs="Times New Roman"/>
          <w:sz w:val="24"/>
          <w:szCs w:val="24"/>
        </w:rPr>
        <w:t xml:space="preserve"> de Belo Horizonte e Região Metropolitana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9405C3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DDD4F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161006E1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49DC8" w14:textId="2AC288B9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 pe</w:t>
      </w:r>
      <w:r>
        <w:rPr>
          <w:rFonts w:ascii="Times New Roman" w:eastAsia="Times New Roman" w:hAnsi="Times New Roman" w:cs="Times New Roman"/>
          <w:sz w:val="24"/>
          <w:szCs w:val="24"/>
        </w:rPr>
        <w:t>didos coletivos</w:t>
      </w:r>
      <w:r w:rsidR="00DA0021">
        <w:rPr>
          <w:rFonts w:ascii="Times New Roman" w:eastAsia="Times New Roman" w:hAnsi="Times New Roman" w:cs="Times New Roman"/>
          <w:sz w:val="24"/>
          <w:szCs w:val="24"/>
        </w:rPr>
        <w:t xml:space="preserve"> de intervenção da Defensoria Pública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ofícios, </w:t>
      </w:r>
      <w:r w:rsidR="00DA0021">
        <w:rPr>
          <w:rFonts w:ascii="Times New Roman" w:eastAsia="Times New Roman" w:hAnsi="Times New Roman" w:cs="Times New Roman"/>
          <w:color w:val="000000"/>
          <w:sz w:val="24"/>
          <w:szCs w:val="24"/>
        </w:rPr>
        <w:t>atas de reunião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demais </w:t>
      </w:r>
      <w:r w:rsidR="00DA0021">
        <w:rPr>
          <w:rFonts w:ascii="Times New Roman" w:eastAsia="Times New Roman" w:hAnsi="Times New Roman" w:cs="Times New Roman"/>
          <w:color w:val="000000"/>
          <w:sz w:val="24"/>
          <w:szCs w:val="24"/>
        </w:rPr>
        <w:t>documentos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 produzidos </w:t>
      </w:r>
      <w:r w:rsidR="00DA00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caso;</w:t>
      </w:r>
    </w:p>
    <w:p w14:paraId="267DFBA6" w14:textId="1F0E307E" w:rsidR="00DA0021" w:rsidRDefault="00DA00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 juntada do teor da Lei Municipal n. 11.285/2011, que instituiu o Programa de Substituição Gradativa dos Veículos de Tração Animal no Município de Belo Horizonte, bem como dos Projetos de Lei a ele correlatos (PL </w:t>
      </w:r>
      <w:r w:rsidR="00D74780">
        <w:rPr>
          <w:rFonts w:ascii="Times New Roman" w:eastAsia="Times New Roman" w:hAnsi="Times New Roman" w:cs="Times New Roman"/>
          <w:color w:val="000000"/>
          <w:sz w:val="24"/>
          <w:szCs w:val="24"/>
        </w:rPr>
        <w:t>411/2022 e PL 545/2023);</w:t>
      </w:r>
    </w:p>
    <w:p w14:paraId="70944C80" w14:textId="476D2473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 xml:space="preserve">a realização de reuniões presenciais e </w:t>
      </w:r>
      <w:r>
        <w:rPr>
          <w:rFonts w:ascii="Times New Roman" w:eastAsia="Times New Roman" w:hAnsi="Times New Roman" w:cs="Times New Roman"/>
          <w:sz w:val="24"/>
          <w:szCs w:val="24"/>
        </w:rPr>
        <w:t>visita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s (com caráter de visita técnica ou não)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Comunidade Carroceira, para conhecimento da realidade;</w:t>
      </w:r>
    </w:p>
    <w:p w14:paraId="4D00CDA9" w14:textId="619BA3D0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a realização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reunião com a Prefeitura de Belo Horizonte para sensibilizar o Executivo Municipal sobre seu dever de preservação do patrimônio cultural;</w:t>
      </w:r>
    </w:p>
    <w:p w14:paraId="250061ED" w14:textId="70FCFBC3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a provocação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Câmara de Vereadores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 xml:space="preserve"> de Belo Horizonte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os vícios de inconstitucionalidade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Municipal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11.285/2021 e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545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B978B2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6D959F" w14:textId="77777777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2011E502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B3519" w14:textId="4F94627D" w:rsidR="000C230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74780">
        <w:rPr>
          <w:rFonts w:ascii="Times New Roman" w:eastAsia="Times New Roman" w:hAnsi="Times New Roman" w:cs="Times New Roman"/>
          <w:sz w:val="24"/>
          <w:szCs w:val="24"/>
        </w:rPr>
        <w:t>junho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D7478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80E2D7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B1505" w14:textId="77777777" w:rsidR="000C230B" w:rsidRDefault="000C23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F2557" w14:textId="77777777" w:rsidR="000C230B" w:rsidRPr="00D7478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D7478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25784948" w14:textId="77777777" w:rsidR="000C230B" w:rsidRPr="00D74780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14:paraId="12A01E5C" w14:textId="77777777" w:rsidR="000C230B" w:rsidRPr="00D74780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14:paraId="1FBCE97C" w14:textId="77BC4002" w:rsidR="000C230B" w:rsidRDefault="0000000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88</w:t>
      </w:r>
      <w:r w:rsid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3</w:t>
      </w:r>
    </w:p>
    <w:p w14:paraId="24F12881" w14:textId="77777777" w:rsid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14:paraId="1EDADC98" w14:textId="77777777" w:rsid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14:paraId="2E86D2C6" w14:textId="77777777" w:rsid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</w:p>
    <w:p w14:paraId="3FF90028" w14:textId="77777777" w:rsidR="00D74780" w:rsidRP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 w:rsidRPr="00D7478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 xml:space="preserve">Ana Cláudia da silva Alexandre </w:t>
      </w:r>
      <w:proofErr w:type="spellStart"/>
      <w:r w:rsidRPr="00D74780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Storch</w:t>
      </w:r>
      <w:proofErr w:type="spellEnd"/>
    </w:p>
    <w:p w14:paraId="4C78B62A" w14:textId="0A271CF9" w:rsid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Defensoria Pública de Direitos Humanos, Coletivos e Socioambientais</w:t>
      </w:r>
    </w:p>
    <w:p w14:paraId="4E87CEC7" w14:textId="7B5A2635" w:rsidR="00D74780" w:rsidRPr="00D74780" w:rsidRDefault="00D74780" w:rsidP="00D74780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Defensora Pública</w:t>
      </w:r>
    </w:p>
    <w:p w14:paraId="0728B6C9" w14:textId="2AE85F65" w:rsidR="00D74780" w:rsidRPr="00D74780" w:rsidRDefault="00D74780" w:rsidP="00371463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D74780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 xml:space="preserve"> 112</w:t>
      </w:r>
    </w:p>
    <w:sectPr w:rsidR="00D74780" w:rsidRPr="00D747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DA66" w14:textId="77777777" w:rsidR="004409F2" w:rsidRDefault="004409F2">
      <w:pPr>
        <w:spacing w:after="0" w:line="240" w:lineRule="auto"/>
      </w:pPr>
      <w:r>
        <w:separator/>
      </w:r>
    </w:p>
  </w:endnote>
  <w:endnote w:type="continuationSeparator" w:id="0">
    <w:p w14:paraId="38658F20" w14:textId="77777777" w:rsidR="004409F2" w:rsidRDefault="0044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Negrito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85E1" w14:textId="77777777" w:rsidR="000C2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946D8">
      <w:rPr>
        <w:noProof/>
        <w:color w:val="000000"/>
      </w:rPr>
      <w:t>1</w:t>
    </w:r>
    <w:r>
      <w:rPr>
        <w:color w:val="000000"/>
      </w:rPr>
      <w:fldChar w:fldCharType="end"/>
    </w:r>
  </w:p>
  <w:p w14:paraId="103AE953" w14:textId="77777777" w:rsidR="000C2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3F15CDCC" w14:textId="77777777" w:rsidR="000C2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95DF2" w14:textId="77777777" w:rsidR="004409F2" w:rsidRDefault="004409F2">
      <w:pPr>
        <w:spacing w:after="0" w:line="240" w:lineRule="auto"/>
      </w:pPr>
      <w:r>
        <w:separator/>
      </w:r>
    </w:p>
  </w:footnote>
  <w:footnote w:type="continuationSeparator" w:id="0">
    <w:p w14:paraId="4403FCFC" w14:textId="77777777" w:rsidR="004409F2" w:rsidRDefault="0044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8CB5" w14:textId="77777777" w:rsidR="000C2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9C8CBC" wp14:editId="2ACFED9A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BBFFA1" w14:textId="77777777" w:rsidR="000C230B" w:rsidRDefault="000C23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0B"/>
    <w:rsid w:val="00057BA5"/>
    <w:rsid w:val="000C230B"/>
    <w:rsid w:val="00296650"/>
    <w:rsid w:val="00371463"/>
    <w:rsid w:val="003D676C"/>
    <w:rsid w:val="004409F2"/>
    <w:rsid w:val="00490CAA"/>
    <w:rsid w:val="004F0DDF"/>
    <w:rsid w:val="00501924"/>
    <w:rsid w:val="00554E49"/>
    <w:rsid w:val="006946D8"/>
    <w:rsid w:val="006A4AED"/>
    <w:rsid w:val="007134AC"/>
    <w:rsid w:val="00816248"/>
    <w:rsid w:val="00870E9B"/>
    <w:rsid w:val="00873B99"/>
    <w:rsid w:val="008D5FDE"/>
    <w:rsid w:val="0094655E"/>
    <w:rsid w:val="009F4C6F"/>
    <w:rsid w:val="00A01371"/>
    <w:rsid w:val="00A40C4B"/>
    <w:rsid w:val="00A505AB"/>
    <w:rsid w:val="00AC22C3"/>
    <w:rsid w:val="00B92329"/>
    <w:rsid w:val="00C00929"/>
    <w:rsid w:val="00D222B7"/>
    <w:rsid w:val="00D74780"/>
    <w:rsid w:val="00DA0021"/>
    <w:rsid w:val="00DB7803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6D7"/>
  <w15:docId w15:val="{6C63BB20-F100-43E4-869F-3445CFF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xn8ytjeUDqOI8xNuOlPEpWwyfg==">AMUW2mX6d+0VKskQeUx7aF4S6RB65I5h4VQLDta0leJ0SdufcI/fNih24QNw/d7ZN+iqQ/wLLuVdalZbcS/IrqcwbaxXG9sXdQDiEfXgchfPMX6xIGp8ZWA=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B6CBC3-3255-46C1-960A-1344A4BAFA37}"/>
</file>

<file path=customXml/itemProps3.xml><?xml version="1.0" encoding="utf-8"?>
<ds:datastoreItem xmlns:ds="http://schemas.openxmlformats.org/officeDocument/2006/customXml" ds:itemID="{D62760DD-82F6-4E4D-934C-CD928EB15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2959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13</cp:revision>
  <dcterms:created xsi:type="dcterms:W3CDTF">2022-01-17T12:14:00Z</dcterms:created>
  <dcterms:modified xsi:type="dcterms:W3CDTF">2023-06-29T19:40:00Z</dcterms:modified>
</cp:coreProperties>
</file>