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D751" w14:textId="77777777" w:rsidR="00B530AC" w:rsidRDefault="00AE277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66E74E9A" w14:textId="77777777" w:rsidR="00B530AC" w:rsidRDefault="00AE277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72A6659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A37501D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2801BE9" w14:textId="77777777" w:rsidR="00B530AC" w:rsidRDefault="00AE277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D26BCF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14:paraId="5DAB6C7B" w14:textId="77777777" w:rsidR="00B530AC" w:rsidRDefault="00B530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378F" w14:textId="77777777" w:rsidR="00B530AC" w:rsidRDefault="00B530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7F926" w14:textId="4CBED758" w:rsidR="00B530AC" w:rsidRDefault="00AE277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EMENTA: </w:t>
      </w:r>
      <w:r w:rsidR="000F1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Contratos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Prestação de Serviços Odontológicos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 firmados entre consumidores e a 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empresa fornecedora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ARCATA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Interrupção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abrupta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prestação do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s. Fechamento da 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clínica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continuidade no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tratamento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dentário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A4BE5" w:rsidRPr="002F2677">
        <w:rPr>
          <w:rFonts w:ascii="Times New Roman" w:eastAsia="Times New Roman" w:hAnsi="Times New Roman" w:cs="Times New Roman"/>
          <w:b/>
          <w:sz w:val="24"/>
          <w:szCs w:val="24"/>
        </w:rPr>
        <w:t xml:space="preserve">Vícios </w:t>
      </w:r>
      <w:r w:rsidR="005A4BE5">
        <w:rPr>
          <w:rFonts w:ascii="Times New Roman" w:eastAsia="Times New Roman" w:hAnsi="Times New Roman" w:cs="Times New Roman"/>
          <w:b/>
          <w:sz w:val="24"/>
          <w:szCs w:val="24"/>
        </w:rPr>
        <w:t>e d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efeitos no serviço. </w:t>
      </w:r>
      <w:r w:rsidR="006C23D9">
        <w:rPr>
          <w:rFonts w:ascii="Times New Roman" w:eastAsia="Times New Roman" w:hAnsi="Times New Roman" w:cs="Times New Roman"/>
          <w:b/>
          <w:sz w:val="24"/>
          <w:szCs w:val="24"/>
        </w:rPr>
        <w:t>Violação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aos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ireitos do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onsumidor. 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Prejuízos materiais. </w:t>
      </w:r>
      <w:r w:rsidR="00BA4A79">
        <w:rPr>
          <w:rFonts w:ascii="Times New Roman" w:eastAsia="Times New Roman" w:hAnsi="Times New Roman" w:cs="Times New Roman"/>
          <w:b/>
          <w:sz w:val="24"/>
          <w:szCs w:val="24"/>
        </w:rPr>
        <w:t xml:space="preserve">Perda dos valores pagos e necessidade de contratação de outros consultórios para conclusão do tratamento. </w:t>
      </w:r>
      <w:r w:rsidR="006C23D9">
        <w:rPr>
          <w:rFonts w:ascii="Times New Roman" w:eastAsia="Times New Roman" w:hAnsi="Times New Roman" w:cs="Times New Roman"/>
          <w:b/>
          <w:sz w:val="24"/>
          <w:szCs w:val="24"/>
        </w:rPr>
        <w:t>Danos morais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 e estéticos</w:t>
      </w:r>
      <w:r w:rsidR="006C23D9">
        <w:rPr>
          <w:rFonts w:ascii="Times New Roman" w:eastAsia="Times New Roman" w:hAnsi="Times New Roman" w:cs="Times New Roman"/>
          <w:b/>
          <w:sz w:val="24"/>
          <w:szCs w:val="24"/>
        </w:rPr>
        <w:t xml:space="preserve"> decorrentes do abandono do tratamento odontológico.</w:t>
      </w:r>
    </w:p>
    <w:p w14:paraId="6A05A809" w14:textId="6A0D9A62" w:rsidR="00B530AC" w:rsidRDefault="00B530AC" w:rsidP="50BBA37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39BBE3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39BBD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fatos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danos causados a diversos consumidores,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em razão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interrupção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abrupta na prestação de serviços odontológicos pela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empresa Locke Serviços Odontológicos Ltda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ARCATA (fornecedora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implantes dentários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), levando à descontinuidade dos tratamentos já contratados e pagos pelos pacientes</w:t>
      </w:r>
      <w:r>
        <w:rPr>
          <w:rFonts w:ascii="Times New Roman" w:eastAsia="Times New Roman" w:hAnsi="Times New Roman" w:cs="Times New Roman"/>
          <w:sz w:val="24"/>
          <w:szCs w:val="24"/>
        </w:rPr>
        <w:t>, sem qualquer aviso prévio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e com o fechamento da loja física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considerações a seguir expostas.</w:t>
      </w:r>
    </w:p>
    <w:p w14:paraId="51D518AE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72A3D3E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51EBCF" w14:textId="5D31C603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do Estado de Minas Gerais tomou conhecimento, por meio de Audiência Pública realizada na Assembleia Legislativa de Minas Gerais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10 de maio de 2023, que diversos consumidores </w:t>
      </w:r>
      <w:r w:rsidR="005A4BE5" w:rsidRPr="002F2677">
        <w:rPr>
          <w:rFonts w:ascii="Times New Roman" w:eastAsia="Times New Roman" w:hAnsi="Times New Roman" w:cs="Times New Roman"/>
          <w:sz w:val="24"/>
          <w:szCs w:val="24"/>
        </w:rPr>
        <w:t xml:space="preserve">vulneráveis </w:t>
      </w:r>
      <w:r w:rsidR="001E687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hipossuficientes mencionaram terem sido lesados pela empresa Locke Serviços Odontológicos Ltda - </w:t>
      </w:r>
      <w:r w:rsidR="00BA4A79">
        <w:rPr>
          <w:rFonts w:ascii="Times New Roman" w:eastAsia="Times New Roman" w:hAnsi="Times New Roman" w:cs="Times New Roman"/>
          <w:sz w:val="24"/>
          <w:szCs w:val="24"/>
        </w:rPr>
        <w:t>ARCATA</w:t>
      </w:r>
      <w:r>
        <w:rPr>
          <w:rFonts w:ascii="Times New Roman" w:eastAsia="Times New Roman" w:hAnsi="Times New Roman" w:cs="Times New Roman"/>
          <w:sz w:val="24"/>
          <w:szCs w:val="24"/>
        </w:rPr>
        <w:t>, em razão da interrupção repentina na prestação de serviços de implantes dentários, anteriormente contratados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 junto à fornecedora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Em referida Audiência Pública, os consumidores prejudicados relataram que os tratamentos 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>ofertados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clínica em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questão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custavam entre R$ 10.000,00 (dez mil) e R$ 30.000,00 (trinta mil) reais, e, como a maioria dos pacientes eram pessoas humildes, tais valores eram pagos de forma parcelada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. Houve o registro de que </w:t>
      </w:r>
      <w:r>
        <w:rPr>
          <w:rFonts w:ascii="Times New Roman" w:eastAsia="Times New Roman" w:hAnsi="Times New Roman" w:cs="Times New Roman"/>
          <w:sz w:val="24"/>
          <w:szCs w:val="24"/>
        </w:rPr>
        <w:t>muitos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 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não tiveram os </w:t>
      </w:r>
      <w:r>
        <w:rPr>
          <w:rFonts w:ascii="Times New Roman" w:eastAsia="Times New Roman" w:hAnsi="Times New Roman" w:cs="Times New Roman"/>
          <w:sz w:val="24"/>
          <w:szCs w:val="24"/>
        </w:rPr>
        <w:t>serviço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s contratados integralmente prestados pela empesa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sendo que, apesar de ter ocorrido a abrupta descontinuidade no tratamento, 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houve a correspondente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suspensão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descontos das parcelas, mesmo após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encerramento das atividades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 e fechamento da loja física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 xml:space="preserve">ARCATA 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>em Belo Horizonte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>Diante disso, foram feitos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requerimentos de intervenção da Defensoria Pública de Minas Gerais, visando à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 xml:space="preserve"> realização de mutirão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>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salvaguarda dos direitos do grupo vulnerabilizado, que abrange</w:t>
      </w:r>
      <w:r w:rsidR="001E68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pessoas carentes e idosas. Ademais, a Defensoria Pública foi intimada nos autos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n. 5011374-42.2023.8.13.0079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 (ação </w:t>
      </w:r>
      <w:r w:rsidR="00191AD3">
        <w:rPr>
          <w:rFonts w:ascii="Times New Roman" w:eastAsia="Times New Roman" w:hAnsi="Times New Roman" w:cs="Times New Roman"/>
          <w:sz w:val="24"/>
          <w:szCs w:val="24"/>
        </w:rPr>
        <w:t xml:space="preserve">com pedido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de tutela cautelar antecedente </w:t>
      </w:r>
      <w:r>
        <w:rPr>
          <w:rFonts w:ascii="Times New Roman" w:eastAsia="Times New Roman" w:hAnsi="Times New Roman" w:cs="Times New Roman"/>
          <w:sz w:val="24"/>
          <w:szCs w:val="24"/>
        </w:rPr>
        <w:t>ajuizad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consumidor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prejudicado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nessas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mesmas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circunstâncias 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pela mesma empresa</w:t>
      </w:r>
      <w:r w:rsidR="00A7758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4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1CF" w:rsidRPr="002F2677">
        <w:rPr>
          <w:rFonts w:ascii="Times New Roman" w:eastAsia="Times New Roman" w:hAnsi="Times New Roman" w:cs="Times New Roman"/>
          <w:sz w:val="24"/>
          <w:szCs w:val="24"/>
        </w:rPr>
        <w:t>em curso perante a 3ª Vara Cível da comarca de Contagem/MG,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para informar se, no âmbito da instituição, havia procedimento ou ação coletiva sobre o </w:t>
      </w:r>
      <w:r w:rsidR="00191AD3" w:rsidRPr="002F2677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5011" w:rsidRPr="002F2677">
        <w:rPr>
          <w:rFonts w:ascii="Times New Roman" w:eastAsia="Times New Roman" w:hAnsi="Times New Roman" w:cs="Times New Roman"/>
          <w:sz w:val="24"/>
          <w:szCs w:val="24"/>
        </w:rPr>
        <w:t xml:space="preserve"> Mais tarde, sobreveio </w:t>
      </w:r>
      <w:r w:rsidR="00055011">
        <w:rPr>
          <w:rFonts w:ascii="Times New Roman" w:eastAsia="Times New Roman" w:hAnsi="Times New Roman" w:cs="Times New Roman"/>
          <w:sz w:val="24"/>
          <w:szCs w:val="24"/>
        </w:rPr>
        <w:t xml:space="preserve">Ofício da Comissão de Defesa do Consumidor da ALMG, questionando à Defensoria Pública quanto à possibilidade de realização de mutirão de atendimento jurídico a respeito do caso envolvendo a 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>ARCATA</w:t>
      </w:r>
      <w:r w:rsidR="000550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 xml:space="preserve"> Identificou-se, no âmbito da Defensoria Pública Especiali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zada 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 xml:space="preserve">do Consumidor de Belo Horizonte, a pré-existência de ações individuais de indenização por danos morais, estéticos e materiais, ajuizadas contra a referida empresa desde o ano de 2019. Contudo,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notou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 xml:space="preserve">-se, nestas ações já propostas, não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ter sido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 xml:space="preserve"> possível sequer a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citação</w:t>
      </w:r>
      <w:r w:rsidR="007E3D38">
        <w:rPr>
          <w:rFonts w:ascii="Times New Roman" w:eastAsia="Times New Roman" w:hAnsi="Times New Roman" w:cs="Times New Roman"/>
          <w:sz w:val="24"/>
          <w:szCs w:val="24"/>
        </w:rPr>
        <w:t xml:space="preserve"> dos responsáveis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para integração da relação jurídica processual.</w:t>
      </w:r>
    </w:p>
    <w:p w14:paraId="21C6348D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27B00A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BFD2F0" w14:textId="77777777" w:rsidR="00B530AC" w:rsidRPr="00244957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 xml:space="preserve">1. Locke Serviços Odontológicos Ltda - </w:t>
      </w:r>
      <w:r w:rsidR="00D97DD3" w:rsidRPr="00244957">
        <w:rPr>
          <w:rFonts w:ascii="Times New Roman" w:eastAsia="Times New Roman" w:hAnsi="Times New Roman" w:cs="Times New Roman"/>
          <w:sz w:val="24"/>
          <w:szCs w:val="24"/>
        </w:rPr>
        <w:t>ARCATA</w:t>
      </w:r>
    </w:p>
    <w:p w14:paraId="4353F72B" w14:textId="77777777" w:rsidR="00B530AC" w:rsidRPr="00244957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 xml:space="preserve">2. Conselho Regional de Odontologia </w:t>
      </w:r>
      <w:r w:rsidR="00244957" w:rsidRPr="0024495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44957">
        <w:rPr>
          <w:rFonts w:ascii="Times New Roman" w:eastAsia="Times New Roman" w:hAnsi="Times New Roman" w:cs="Times New Roman"/>
          <w:sz w:val="24"/>
          <w:szCs w:val="24"/>
        </w:rPr>
        <w:t xml:space="preserve"> CRO</w:t>
      </w:r>
    </w:p>
    <w:p w14:paraId="55D3D995" w14:textId="77777777" w:rsidR="00055011" w:rsidRPr="00244957" w:rsidRDefault="000550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>3. Polícia Civil do Estado de Minas Gerais</w:t>
      </w:r>
      <w:r w:rsidR="00D97DD3" w:rsidRPr="00244957">
        <w:rPr>
          <w:rFonts w:ascii="Times New Roman" w:eastAsia="Times New Roman" w:hAnsi="Times New Roman" w:cs="Times New Roman"/>
          <w:sz w:val="24"/>
          <w:szCs w:val="24"/>
        </w:rPr>
        <w:t xml:space="preserve"> - PCMG</w:t>
      </w:r>
    </w:p>
    <w:p w14:paraId="60061E4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D4247" w14:textId="517862F5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LXXIV, do art. 5º, da Constituição Federal e do art. 1º, da Lei Complementar Federal nº 80/1994;</w:t>
      </w:r>
    </w:p>
    <w:p w14:paraId="44EAFD9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370DF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erradicar a pobreza e a marginalização e reduzir as desigualdades sociais e regionais (art. 1º, incisos II e III, e art. 3º, incisos I e III, da CRFB/1988);</w:t>
      </w:r>
    </w:p>
    <w:p w14:paraId="4B94D5A5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D580A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Federativa do Brasil estabelece como direito fundamental o dever do Estado de </w:t>
      </w:r>
      <w:r w:rsidRPr="000C1194">
        <w:rPr>
          <w:rFonts w:ascii="Times New Roman" w:eastAsia="Times New Roman" w:hAnsi="Times New Roman" w:cs="Times New Roman"/>
          <w:sz w:val="24"/>
          <w:szCs w:val="24"/>
        </w:rPr>
        <w:t>promover a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5º, inciso XXXII, e art. 170, inciso V, da CRFB/1988;</w:t>
      </w:r>
    </w:p>
    <w:p w14:paraId="3DEEC669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6A4A8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disposto no art. 170, 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Constituição Federal, que prevê que a ordem econômica tem por fim assegurar a todos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existência digna, conforme os ditames da justiça social, observada a defesa do consumidor, entre outros princípios;</w:t>
      </w:r>
    </w:p>
    <w:p w14:paraId="3656B9AB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E8EE6" w14:textId="4E14ECAF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fato de a relação de consumo consistir em relação desequilibrada, daí a importância da criação do Código de Defesa do Consumidor (Lei 8.078/1990), reconhecendo a vulnerabilidade dos consumidores n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os negócios </w:t>
      </w:r>
      <w:r>
        <w:rPr>
          <w:rFonts w:ascii="Times New Roman" w:eastAsia="Times New Roman" w:hAnsi="Times New Roman" w:cs="Times New Roman"/>
          <w:sz w:val="24"/>
          <w:szCs w:val="24"/>
        </w:rPr>
        <w:t>jurídic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lastRenderedPageBreak/>
        <w:t>travad</w:t>
      </w:r>
      <w:r w:rsidR="00244957" w:rsidRPr="002F26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s com os fornecedores, visando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 xml:space="preserve">, com isso,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à proteção </w:t>
      </w:r>
      <w:r w:rsidR="00E02D20" w:rsidRPr="002F2677">
        <w:rPr>
          <w:rFonts w:ascii="Times New Roman" w:eastAsia="Times New Roman" w:hAnsi="Times New Roman" w:cs="Times New Roman"/>
          <w:sz w:val="24"/>
          <w:szCs w:val="24"/>
        </w:rPr>
        <w:t xml:space="preserve">dos interesses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deste grupo hipossuficiente 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>(nos termos do art. 4º, inciso I, do CDC);</w:t>
      </w:r>
    </w:p>
    <w:p w14:paraId="45FB0818" w14:textId="77777777" w:rsidR="00B530AC" w:rsidRPr="00BE372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62C5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 institui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Polícia Nacional das Relações de Consumo,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listando, dentre seus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objetiv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proteção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interesses econômicos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dos 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transparência e harmonia das relações de consumo, atendido o princípio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“coibição e repressão eficientes de todos os abusos praticados no mercado de consumo” (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4°, </w:t>
      </w:r>
      <w:r w:rsidRPr="000C1194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VI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CDC);</w:t>
      </w:r>
    </w:p>
    <w:p w14:paraId="049F31CB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B04FF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Consumidor, em seu art. 6°, 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incisos VI e VII, ao dispor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os direitos básicos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esse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grupo vulnerabilizado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arrola, dentre outras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 xml:space="preserve"> garantias, o direito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C1194" w:rsidRPr="000C1194">
        <w:rPr>
          <w:rFonts w:ascii="Times New Roman" w:eastAsia="Times New Roman" w:hAnsi="Times New Roman" w:cs="Times New Roman"/>
          <w:sz w:val="24"/>
          <w:szCs w:val="24"/>
        </w:rPr>
        <w:t>efetiva prevenção e reparação de danos patrimoniais e morais, individuais, coletivos e difusos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128261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ED6E8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>rt. 14</w:t>
      </w:r>
      <w:r>
        <w:rPr>
          <w:rFonts w:ascii="Times New Roman" w:eastAsia="Times New Roman" w:hAnsi="Times New Roman" w:cs="Times New Roman"/>
          <w:sz w:val="24"/>
          <w:szCs w:val="24"/>
        </w:rPr>
        <w:t>, do Código de Defesa do Consumidor, prevê que o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 xml:space="preserve"> fornecedor responde, independentemente da existência de culpa, pela reparação dos danos causados aos consumidores por defeitos relativos à prestação dos serviços, bem como por informações insuficientes ou inadequadas sobre sua fruição e riscos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AA52D3" w14:textId="77777777" w:rsidR="005430A1" w:rsidRDefault="00543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8E261" w14:textId="1279327D" w:rsidR="005430A1" w:rsidRPr="002F2677" w:rsidRDefault="00543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20, do Código de Defesa do Consumidor, prevê que o fornecedor de serviços responde, também, independentemente da existência de culpa, pelos vícios de qualidade decorrentes da disparidade com as indicações constantes da oferta ou mensagem publicitária;</w:t>
      </w:r>
    </w:p>
    <w:p w14:paraId="62486C05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DBE5A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389,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c/c art. 402, </w:t>
      </w:r>
      <w:r>
        <w:rPr>
          <w:rFonts w:ascii="Times New Roman" w:eastAsia="Times New Roman" w:hAnsi="Times New Roman" w:cs="Times New Roman"/>
          <w:sz w:val="24"/>
          <w:szCs w:val="24"/>
        </w:rPr>
        <w:t>do Código Civil o inadimplemento de obrigações contratuais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configura ato ilícito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>responde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 xml:space="preserve"> o devedor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pelas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 xml:space="preserve"> perdas e danos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causados;</w:t>
      </w:r>
    </w:p>
    <w:p w14:paraId="4101652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DC9CC" w14:textId="7E8C9FAF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que o Código de Defesa do Consumidor, em seu art. 37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D86" w:rsidRPr="002F267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 e § </w:t>
      </w:r>
      <w:r w:rsidR="005430A1" w:rsidRPr="002F26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>º</w:t>
      </w:r>
      <w:r w:rsidR="005430A1" w:rsidRPr="002F2677">
        <w:rPr>
          <w:rFonts w:ascii="Times New Roman" w:eastAsia="Times New Roman" w:hAnsi="Times New Roman" w:cs="Times New Roman"/>
          <w:sz w:val="24"/>
          <w:szCs w:val="24"/>
        </w:rPr>
        <w:t xml:space="preserve"> e 3º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, proíbe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a publicidade enganosa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6311" w:rsidRPr="002F2677">
        <w:rPr>
          <w:rFonts w:ascii="Times New Roman" w:eastAsia="Times New Roman" w:hAnsi="Times New Roman" w:cs="Times New Roman"/>
          <w:sz w:val="24"/>
          <w:szCs w:val="24"/>
        </w:rPr>
        <w:t>inclusive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 por omissão, quando deixar de informar sobre dado essencial do produto ou serviço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99056E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3A70B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termos do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Código de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>, que veda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fornecedor de produtos ou serviços, dentre outras práticas abusivas, prevalecer-se da fraqueza ou ignorância do consumidor, tendo em vista sua idade, saúde, conhecimento ou condição social, para impingir-lhe seus produtos ou serviços (art. 39, inciso IV);</w:t>
      </w:r>
    </w:p>
    <w:p w14:paraId="1299C43A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C8C8C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233, II da Constituição Estadual de Minas Gerais prevê que o Estado adotará instrumentos para a defesa, promoção e divulgação dos direitos do consumidor, entre outros, bem como prevê, em seu § 3°, que o Poder Público manterá órgão especializado para a execução da política de defesa do consumidor;</w:t>
      </w:r>
    </w:p>
    <w:p w14:paraId="4DDBEF00" w14:textId="77777777" w:rsidR="00B530AC" w:rsidRPr="006C7D86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2F3A" w14:textId="77777777" w:rsidR="00B530AC" w:rsidRPr="006C7D86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86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que compete ao Conselho Regional de Odontologia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nos termos da Lei 4.324/1964, fiscalizar o exercício da profissão, em harmonia com os órgãos sanitários competentes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bem como deliberar sobre assuntos atinentes à ética profissional, impondo a seus infratores as devidas penalidades (art. 11, “a” e “b”, Lei 4.324/1964);</w:t>
      </w:r>
    </w:p>
    <w:p w14:paraId="3461D779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A202B" w14:textId="17C23463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conforme o disposto no art. 4º, </w:t>
      </w:r>
      <w:r w:rsidR="002F2677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14:paraId="3CF2D8B6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7D955" w14:textId="77777777" w:rsidR="006C7D86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, a fim de apurar os fatos e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danos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 xml:space="preserve">morais, estéticos e materiais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causados a diversos consumidores, em razão da interrupção abrupta na prestação de serviços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dentários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pela empresa Locke Serviços Odontológicos Ltda – ARCATA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levando à descontinuidade dos tratamentos contratados e pagos pelos pacientes, sem qualquer aviso prévio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B78278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46F6A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09488264" w14:textId="77777777" w:rsidR="00D904A1" w:rsidRDefault="00D904A1" w:rsidP="00D904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 juntada de ofícios, autos de ações individuais ajuizadas, atas de reunião e demais documentos relacionados ao caso;</w:t>
      </w:r>
    </w:p>
    <w:p w14:paraId="5CDF3E66" w14:textId="77777777" w:rsidR="00B530AC" w:rsidRDefault="00D904A1" w:rsidP="00D904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a remessa de ofício de requisição de informações à Polícia Civil do Estado de Minas Gerais, a respeito de eventuais investigações envolvendo a empresa ARCATA, com a identificação do paradeiro de seus sócios;</w:t>
      </w:r>
    </w:p>
    <w:p w14:paraId="6CEB7749" w14:textId="77777777" w:rsidR="00D904A1" w:rsidRDefault="00D904A1" w:rsidP="00D904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 organização de atendimento concentrado aos consumidores lesados pela empresa, com a elaboração de lista de documentos a serem apresentados à DPMG para instrução de eventual ação e roteiro para coleta das declarações dos lesados;</w:t>
      </w:r>
    </w:p>
    <w:p w14:paraId="03F52CB2" w14:textId="77777777" w:rsidR="00B530AC" w:rsidRDefault="00D904A1" w:rsidP="00D904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a elaboração de instrumentos judiciais e extrajudiciais, para a solução do litígio.</w:t>
      </w:r>
    </w:p>
    <w:p w14:paraId="1FC39945" w14:textId="77777777" w:rsidR="00B530AC" w:rsidRDefault="00B530A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F30D7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60DFDC5D" w14:textId="77777777" w:rsidR="002F2677" w:rsidRDefault="002F26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F2C61" w14:textId="6A5DC4D5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267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116DE">
        <w:rPr>
          <w:rFonts w:ascii="Times New Roman" w:eastAsia="Times New Roman" w:hAnsi="Times New Roman" w:cs="Times New Roman"/>
          <w:sz w:val="24"/>
          <w:szCs w:val="24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62CB0E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E0A41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7B9662" w14:textId="77777777" w:rsidR="002F2677" w:rsidRDefault="002F267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85FD50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Paulo Cesar Azevedo de Almeida</w:t>
      </w:r>
    </w:p>
    <w:p w14:paraId="7AD82246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Coordenadoria Estratégica em Tutela Coletiva</w:t>
      </w:r>
    </w:p>
    <w:p w14:paraId="2C205F60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 Público</w:t>
      </w:r>
    </w:p>
    <w:p w14:paraId="0FA6C6E1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Madep 883</w:t>
      </w:r>
    </w:p>
    <w:p w14:paraId="62EBF3C5" w14:textId="77777777" w:rsidR="00B530AC" w:rsidRDefault="00B530A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6D98A12B" w14:textId="77777777" w:rsidR="00676BC2" w:rsidRDefault="00676BC2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54055C38" w14:textId="77777777" w:rsidR="002F2677" w:rsidRDefault="002F2677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2946DB82" w14:textId="77777777" w:rsidR="00676BC2" w:rsidRDefault="00676BC2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184EE862" w14:textId="5824BA2E" w:rsidR="00676BC2" w:rsidRPr="002F2677" w:rsidRDefault="00676BC2" w:rsidP="00676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 w:rsidRPr="002F2677">
        <w:rPr>
          <w:rFonts w:ascii="Times New Roman" w:eastAsia="Times New Roman" w:hAnsi="Times New Roman" w:cs="Times New Roman"/>
          <w:b/>
          <w:smallCaps/>
          <w:sz w:val="26"/>
          <w:szCs w:val="26"/>
        </w:rPr>
        <w:t>Ana Luíza Aragão Bracarense Ri</w:t>
      </w:r>
      <w:r w:rsidR="00F43C36" w:rsidRPr="002F2677">
        <w:rPr>
          <w:rFonts w:ascii="Times New Roman" w:eastAsia="Times New Roman" w:hAnsi="Times New Roman" w:cs="Times New Roman"/>
          <w:b/>
          <w:smallCaps/>
          <w:sz w:val="26"/>
          <w:szCs w:val="26"/>
        </w:rPr>
        <w:t>os</w:t>
      </w:r>
    </w:p>
    <w:p w14:paraId="2BB02CC5" w14:textId="3BDFD1F6" w:rsidR="002F2677" w:rsidRDefault="002F2677" w:rsidP="00676B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Coordenadora da Defensoria Especializada do Consumidor</w:t>
      </w:r>
    </w:p>
    <w:p w14:paraId="5440DB68" w14:textId="6CAFB498" w:rsidR="00676BC2" w:rsidRDefault="00676BC2" w:rsidP="00676B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Defensora Pública</w:t>
      </w:r>
    </w:p>
    <w:p w14:paraId="7780F6AB" w14:textId="77777777" w:rsidR="00676BC2" w:rsidRDefault="00676BC2" w:rsidP="00676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mallCaps/>
          <w:sz w:val="26"/>
          <w:szCs w:val="26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 305</w:t>
      </w:r>
    </w:p>
    <w:p w14:paraId="5997CC1D" w14:textId="77777777" w:rsidR="00676BC2" w:rsidRDefault="00676BC2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sectPr w:rsidR="00676BC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280F" w14:textId="77777777" w:rsidR="00450732" w:rsidRDefault="00450732">
      <w:pPr>
        <w:spacing w:after="0" w:line="240" w:lineRule="auto"/>
      </w:pPr>
      <w:r>
        <w:separator/>
      </w:r>
    </w:p>
  </w:endnote>
  <w:endnote w:type="continuationSeparator" w:id="0">
    <w:p w14:paraId="746C0866" w14:textId="77777777" w:rsidR="00450732" w:rsidRDefault="0045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295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372C">
      <w:rPr>
        <w:noProof/>
        <w:color w:val="000000"/>
      </w:rPr>
      <w:t>4</w:t>
    </w:r>
    <w:r>
      <w:rPr>
        <w:color w:val="000000"/>
      </w:rPr>
      <w:fldChar w:fldCharType="end"/>
    </w:r>
  </w:p>
  <w:p w14:paraId="2680122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647D602B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E049" w14:textId="77777777" w:rsidR="00450732" w:rsidRDefault="00450732">
      <w:pPr>
        <w:spacing w:after="0" w:line="240" w:lineRule="auto"/>
      </w:pPr>
      <w:r>
        <w:separator/>
      </w:r>
    </w:p>
  </w:footnote>
  <w:footnote w:type="continuationSeparator" w:id="0">
    <w:p w14:paraId="16BC3630" w14:textId="77777777" w:rsidR="00450732" w:rsidRDefault="0045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9FD29" wp14:editId="07777777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699379" w14:textId="77777777" w:rsidR="00B530AC" w:rsidRDefault="00B530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1690B"/>
    <w:multiLevelType w:val="multilevel"/>
    <w:tmpl w:val="3D926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0AC"/>
    <w:rsid w:val="00055011"/>
    <w:rsid w:val="000C1194"/>
    <w:rsid w:val="000E76F6"/>
    <w:rsid w:val="000F15B8"/>
    <w:rsid w:val="00116E53"/>
    <w:rsid w:val="00191AD3"/>
    <w:rsid w:val="001E6870"/>
    <w:rsid w:val="00244957"/>
    <w:rsid w:val="00267FE2"/>
    <w:rsid w:val="002F2677"/>
    <w:rsid w:val="00450732"/>
    <w:rsid w:val="004F6CA3"/>
    <w:rsid w:val="00540E03"/>
    <w:rsid w:val="005430A1"/>
    <w:rsid w:val="005A4BE5"/>
    <w:rsid w:val="005E6311"/>
    <w:rsid w:val="00676BC2"/>
    <w:rsid w:val="006839D3"/>
    <w:rsid w:val="006C23D9"/>
    <w:rsid w:val="006C7D86"/>
    <w:rsid w:val="007E3D38"/>
    <w:rsid w:val="00A7758D"/>
    <w:rsid w:val="00AE277A"/>
    <w:rsid w:val="00AE356A"/>
    <w:rsid w:val="00B116DE"/>
    <w:rsid w:val="00B530AC"/>
    <w:rsid w:val="00BA4A79"/>
    <w:rsid w:val="00BC5E0D"/>
    <w:rsid w:val="00BE372C"/>
    <w:rsid w:val="00D26BCF"/>
    <w:rsid w:val="00D904A1"/>
    <w:rsid w:val="00D97DD3"/>
    <w:rsid w:val="00E02D20"/>
    <w:rsid w:val="00E23C1D"/>
    <w:rsid w:val="00E401CF"/>
    <w:rsid w:val="00F43C36"/>
    <w:rsid w:val="50BB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32DC"/>
  <w15:docId w15:val="{D220EFCE-44E0-4DDF-9DD3-0325B285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51rNK3IQ+vwft/+c5d43OOGCTg==">AMUW2mUGA2F4x7K4FQWADtyq0Q9x+b5i4tUZHve8PfpmhGgv2sBayk7VqRGY3NvsVavcEsm0nTSZYG6mMv5I/U5Zh9AKGtcM0clL1w/HMusQUN3pV2Pri+Q=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263BE-3136-45BB-908E-910A573D3D74}"/>
</file>

<file path=customXml/itemProps3.xml><?xml version="1.0" encoding="utf-8"?>
<ds:datastoreItem xmlns:ds="http://schemas.openxmlformats.org/officeDocument/2006/customXml" ds:itemID="{72E3EE6F-75D7-4E90-A855-2E84AC6C7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1788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6</cp:revision>
  <dcterms:created xsi:type="dcterms:W3CDTF">2023-06-22T18:09:00Z</dcterms:created>
  <dcterms:modified xsi:type="dcterms:W3CDTF">2023-06-23T18:47:00Z</dcterms:modified>
</cp:coreProperties>
</file>