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A8EC" w14:textId="77777777" w:rsidR="00863A84" w:rsidRDefault="006210F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1E482E1E" w14:textId="77777777" w:rsidR="00863A84" w:rsidRDefault="006210F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521DFA35" w14:textId="77777777" w:rsidR="00863A84" w:rsidRDefault="00863A84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63149DC4" w14:textId="77777777" w:rsidR="00B62F57" w:rsidRDefault="00B62F57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28F5523A" w14:textId="0C1602D0" w:rsidR="00863A84" w:rsidRDefault="006210F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PTAC nº 0</w:t>
      </w:r>
      <w:r w:rsidR="00E638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666055BB" w14:textId="77777777" w:rsidR="00863A84" w:rsidRDefault="00863A8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5DEE6" w14:textId="77777777" w:rsidR="00B62F57" w:rsidRDefault="00B62F5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4C99C" w14:textId="49D83D44" w:rsidR="00863A84" w:rsidRDefault="006210F0" w:rsidP="00182684">
      <w:pPr>
        <w:pBdr>
          <w:top w:val="nil"/>
          <w:left w:val="nil"/>
          <w:bottom w:val="nil"/>
          <w:right w:val="nil"/>
          <w:between w:val="nil"/>
        </w:pBdr>
        <w:spacing w:after="80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 Ocupação d</w:t>
      </w:r>
      <w:r w:rsidR="00E63882">
        <w:rPr>
          <w:rFonts w:ascii="Times New Roman" w:eastAsia="Times New Roman" w:hAnsi="Times New Roman" w:cs="Times New Roman"/>
          <w:b/>
          <w:sz w:val="24"/>
          <w:szCs w:val="24"/>
        </w:rPr>
        <w:t>e área institucional do Município de Esmeralda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E63882">
        <w:rPr>
          <w:rFonts w:ascii="Times New Roman" w:eastAsia="Times New Roman" w:hAnsi="Times New Roman" w:cs="Times New Roman"/>
          <w:b/>
          <w:sz w:val="24"/>
          <w:szCs w:val="24"/>
        </w:rPr>
        <w:t xml:space="preserve"> localizada entre a Avenida Coletora dois e a rua Peru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D3F40">
        <w:rPr>
          <w:rFonts w:ascii="Times New Roman" w:eastAsia="Times New Roman" w:hAnsi="Times New Roman" w:cs="Times New Roman"/>
          <w:b/>
          <w:sz w:val="24"/>
          <w:szCs w:val="24"/>
        </w:rPr>
        <w:t xml:space="preserve">Comunidade Tradicional de Ciganos Calons.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Ação de 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eintegração de posse, movida pelo Município de </w:t>
      </w:r>
      <w:r w:rsidR="00E63882">
        <w:rPr>
          <w:rFonts w:ascii="Times New Roman" w:eastAsia="Times New Roman" w:hAnsi="Times New Roman" w:cs="Times New Roman"/>
          <w:b/>
          <w:sz w:val="24"/>
          <w:szCs w:val="24"/>
        </w:rPr>
        <w:t>Esmeraldas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/MG contra os ocupantes.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Garantia do direito à moradia de pessoas vulner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>abilizadas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>Função social da posse. Possibilidade de 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ealização de regularização fundiária de interesse social no local.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 xml:space="preserve"> Princípio do </w:t>
      </w:r>
      <w:r w:rsidR="00182684">
        <w:rPr>
          <w:rFonts w:ascii="Times New Roman" w:eastAsia="Times New Roman" w:hAnsi="Times New Roman" w:cs="Times New Roman"/>
          <w:b/>
          <w:i/>
          <w:sz w:val="24"/>
          <w:szCs w:val="24"/>
        </w:rPr>
        <w:t>venire contra factum proprium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Reassentamento imediato, mediante remoção hu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manizada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>, em caso de ordem de desocupação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Prevenção à inserção 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 xml:space="preserve">dos núcleos familiares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 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programas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atendimento provisório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 xml:space="preserve"> à moradia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(aluguel social).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 xml:space="preserve"> Eventual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2684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ndenização pelo valor das acessões e da posse. </w:t>
      </w:r>
      <w:r w:rsidR="00E63882">
        <w:rPr>
          <w:rFonts w:ascii="Times New Roman" w:eastAsia="Times New Roman" w:hAnsi="Times New Roman" w:cs="Times New Roman"/>
          <w:b/>
          <w:sz w:val="24"/>
          <w:szCs w:val="24"/>
        </w:rPr>
        <w:t>Acampanhamento do processo 5007689-60.2022.8.13.0241</w:t>
      </w:r>
    </w:p>
    <w:p w14:paraId="24B75E62" w14:textId="77777777" w:rsidR="00863A84" w:rsidRDefault="00863A84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ACA10E" w14:textId="77777777" w:rsidR="00B62F57" w:rsidRDefault="00B62F57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AB6C8D" w14:textId="53EE659C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Defensoria Pública do Estado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art. 4°, incisos I, II, III, VII, VIII, X, XI e XII, da Lei Complementar Federal nº 80/94, c/c art. 5°, incisos I e IX, da Lei Complementar Estadual 65/2003, e demais dispositivos pertinentes à espécie, nos termos da Deliberação nº 211/2021, do Conselho </w:t>
      </w:r>
      <w:r>
        <w:rPr>
          <w:rFonts w:ascii="Times New Roman" w:eastAsia="Times New Roman" w:hAnsi="Times New Roman" w:cs="Times New Roman"/>
          <w:sz w:val="24"/>
          <w:szCs w:val="24"/>
        </w:rPr>
        <w:t>Superior da Defensoria Pública do Estado de Minas Gerais, por intermédio dos Defensores Públicos signatários, instaura o presente Procedimento Administrativo de Tutela Coletiva (PTAC), a fim de apurar a situação d</w:t>
      </w:r>
      <w:r w:rsidR="00B62F57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cidadãs</w:t>
      </w:r>
      <w:r w:rsidR="00B62F57">
        <w:rPr>
          <w:rFonts w:ascii="Times New Roman" w:eastAsia="Times New Roman" w:hAnsi="Times New Roman" w:cs="Times New Roman"/>
          <w:sz w:val="24"/>
          <w:szCs w:val="24"/>
        </w:rPr>
        <w:t xml:space="preserve"> e cidadãos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moradores da </w:t>
      </w:r>
      <w:r w:rsidR="002D3F40">
        <w:rPr>
          <w:rFonts w:ascii="Times New Roman" w:eastAsia="Times New Roman" w:hAnsi="Times New Roman" w:cs="Times New Roman"/>
          <w:sz w:val="24"/>
          <w:szCs w:val="24"/>
        </w:rPr>
        <w:t>Ocupação Cigana Calons em Esmeraldas,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adotando providências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judiciai</w:t>
      </w:r>
      <w:r w:rsidR="00B62F5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extrajudiciais cabíveis para a garantia do direito à moradia do grupo hipossuficiente, conforme síntese e considerações a seguir expostas.</w:t>
      </w:r>
    </w:p>
    <w:p w14:paraId="71704E96" w14:textId="77777777" w:rsidR="00B62F57" w:rsidRDefault="00B62F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3C9DF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66E47A1A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2D2EA7" w14:textId="5EC44D38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de Minas Gerais tomou conhecimento, por meio </w:t>
      </w:r>
      <w:r w:rsidR="00B63CC2">
        <w:rPr>
          <w:rFonts w:ascii="Times New Roman" w:eastAsia="Times New Roman" w:hAnsi="Times New Roman" w:cs="Times New Roman"/>
          <w:sz w:val="24"/>
          <w:szCs w:val="24"/>
        </w:rPr>
        <w:t xml:space="preserve">de mensagens via whatsapp que havia sido ajuizada a ação de reintegração de posse contra a comunidade de Ciganos CAlons em Esmeraldas, processo judicial </w:t>
      </w:r>
      <w:r w:rsidR="00E706AA">
        <w:rPr>
          <w:rFonts w:ascii="Times New Roman" w:eastAsia="Times New Roman" w:hAnsi="Times New Roman" w:cs="Times New Roman"/>
          <w:sz w:val="24"/>
          <w:szCs w:val="24"/>
        </w:rPr>
        <w:t xml:space="preserve">5007689-60.2022.8.13.0241. Foi interposto Agravo de Instrumento com efeito suspensivo e manifestação no processo. O Tribunal decidiu suspender a ordem de reintegração de posse. O objetivo será acompanhar extrajudicialmente a garantia da posse da comunidade tal como em Ibirité e Conselheiro Lafaiete. </w:t>
      </w:r>
    </w:p>
    <w:p w14:paraId="6E63BC7E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32956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956996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072D0" w14:textId="2E385CEB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Município de </w:t>
      </w:r>
      <w:r w:rsidR="00E706AA">
        <w:rPr>
          <w:rFonts w:ascii="Times New Roman" w:eastAsia="Times New Roman" w:hAnsi="Times New Roman" w:cs="Times New Roman"/>
          <w:sz w:val="24"/>
          <w:szCs w:val="24"/>
        </w:rPr>
        <w:t>Esmeraldas</w:t>
      </w:r>
      <w:r>
        <w:rPr>
          <w:rFonts w:ascii="Times New Roman" w:eastAsia="Times New Roman" w:hAnsi="Times New Roman" w:cs="Times New Roman"/>
          <w:sz w:val="24"/>
          <w:szCs w:val="24"/>
        </w:rPr>
        <w:t>/MG</w:t>
      </w:r>
    </w:p>
    <w:p w14:paraId="2E907CCC" w14:textId="3C57DA72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706AA">
        <w:rPr>
          <w:rFonts w:ascii="Times New Roman" w:eastAsia="Times New Roman" w:hAnsi="Times New Roman" w:cs="Times New Roman"/>
          <w:sz w:val="24"/>
          <w:szCs w:val="24"/>
        </w:rPr>
        <w:t xml:space="preserve">Comunidade de Ciganos Calons </w:t>
      </w:r>
    </w:p>
    <w:p w14:paraId="46EFA838" w14:textId="77777777" w:rsidR="00E706AA" w:rsidRDefault="00E706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06104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</w:t>
      </w:r>
      <w:r>
        <w:rPr>
          <w:rFonts w:ascii="Times New Roman" w:eastAsia="Times New Roman" w:hAnsi="Times New Roman" w:cs="Times New Roman"/>
          <w:sz w:val="24"/>
          <w:szCs w:val="24"/>
        </w:rPr>
        <w:t>ão jurídica, a promoção dos direitos humanos e a defesa, em todos os graus, judicial e extrajudicial, dos direitos individuais e coletivos, de forma integral e gratuita, aos necessitados, na forma dos art. 5º, inciso LXXIV, e art. 134, da Constituição da R</w:t>
      </w:r>
      <w:r>
        <w:rPr>
          <w:rFonts w:ascii="Times New Roman" w:eastAsia="Times New Roman" w:hAnsi="Times New Roman" w:cs="Times New Roman"/>
          <w:sz w:val="24"/>
          <w:szCs w:val="24"/>
        </w:rPr>
        <w:t>epública Federativa do Brasil de 1988 (CRFB/1988);</w:t>
      </w:r>
    </w:p>
    <w:p w14:paraId="2766DE86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738F20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fundamentais de construir uma sociedade </w:t>
      </w:r>
      <w:r>
        <w:rPr>
          <w:rFonts w:ascii="Times New Roman" w:eastAsia="Times New Roman" w:hAnsi="Times New Roman" w:cs="Times New Roman"/>
          <w:sz w:val="24"/>
          <w:szCs w:val="24"/>
        </w:rPr>
        <w:t>livre, justa e solidária, além de promover o bem de todos, sem preconceitos ou quaisquer formas de discriminação (art. 1º, incisos II e III, e art. 3º, I e IV, da CRFB/1988);</w:t>
      </w:r>
    </w:p>
    <w:p w14:paraId="5C468D4C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7922D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direito à moradia é contemplado como uma das garantias sociai</w:t>
      </w:r>
      <w:r>
        <w:rPr>
          <w:rFonts w:ascii="Times New Roman" w:eastAsia="Times New Roman" w:hAnsi="Times New Roman" w:cs="Times New Roman"/>
          <w:sz w:val="24"/>
          <w:szCs w:val="24"/>
        </w:rPr>
        <w:t>s pelo art. 6º, da Constituição Federal de 1988;</w:t>
      </w:r>
    </w:p>
    <w:p w14:paraId="4C9F7B99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57FB7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direito à moradia é um direito humano previsto em diversas declarações e tratados internacionais de direitos humanos, dos quais o Estado Brasileiro é parte, em especial na Declaração Univ</w:t>
      </w:r>
      <w:r>
        <w:rPr>
          <w:rFonts w:ascii="Times New Roman" w:eastAsia="Times New Roman" w:hAnsi="Times New Roman" w:cs="Times New Roman"/>
          <w:sz w:val="24"/>
          <w:szCs w:val="24"/>
        </w:rPr>
        <w:t>ersal de Direitos Humanos de 1948 (artigo XXV), no Pacto Internacional de Direitos Econômicos, Sociais e Culturais de 1966 (artigo 11), na Convenção Sobre os Direitos da Criança de 1989 (artigo 21), na Declaração sobre Assentamentos Humanos de Vancouver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1976, na Agenda 21 sobre Meio Ambiente e Desenvolvimento de 1992 (Capítulo 7); e que os tratados e convenções internacionais sobre direitos humanos aprovados, em cada casa do Congresso Nacional, são equivalentes às emendas constitucionais, por força do ar</w:t>
      </w:r>
      <w:r>
        <w:rPr>
          <w:rFonts w:ascii="Times New Roman" w:eastAsia="Times New Roman" w:hAnsi="Times New Roman" w:cs="Times New Roman"/>
          <w:sz w:val="24"/>
          <w:szCs w:val="24"/>
        </w:rPr>
        <w:t>tigo 5º, § 3º, da Constituição Federal;</w:t>
      </w:r>
    </w:p>
    <w:p w14:paraId="74114EDE" w14:textId="77777777" w:rsidR="004134AB" w:rsidRDefault="004134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B8E1D" w14:textId="77777777" w:rsidR="004134AB" w:rsidRDefault="004134AB" w:rsidP="004134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</w:t>
      </w:r>
      <w:r w:rsidRPr="004134AB">
        <w:rPr>
          <w:rFonts w:ascii="Times New Roman" w:eastAsia="Times New Roman" w:hAnsi="Times New Roman" w:cs="Times New Roman"/>
          <w:sz w:val="24"/>
          <w:szCs w:val="24"/>
        </w:rPr>
        <w:t>Enunciado nº 492 da V Jornada de Direito Civil, de 2011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reconhece a função social da posse, estabelecendo que “</w:t>
      </w:r>
      <w:r w:rsidRPr="004134AB">
        <w:rPr>
          <w:rFonts w:ascii="Times New Roman" w:eastAsia="Times New Roman" w:hAnsi="Times New Roman" w:cs="Times New Roman"/>
          <w:sz w:val="24"/>
          <w:szCs w:val="24"/>
        </w:rPr>
        <w:t>A posse constitui direito autônomo em relação à propriedade e dev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4AB">
        <w:rPr>
          <w:rFonts w:ascii="Times New Roman" w:eastAsia="Times New Roman" w:hAnsi="Times New Roman" w:cs="Times New Roman"/>
          <w:sz w:val="24"/>
          <w:szCs w:val="24"/>
        </w:rPr>
        <w:t>expressar o aproveitamento dos bens para o alcance de interesse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4AB">
        <w:rPr>
          <w:rFonts w:ascii="Times New Roman" w:eastAsia="Times New Roman" w:hAnsi="Times New Roman" w:cs="Times New Roman"/>
          <w:sz w:val="24"/>
          <w:szCs w:val="24"/>
        </w:rPr>
        <w:t>existenciais, econômicos e sociais merecedores de tutela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7157C4ED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AA27F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cabe ao Poder Público municipal, nos termos do art. 182, da Constituição Federal de 1988, executar a política de desenvolvimen</w:t>
      </w:r>
      <w:r>
        <w:rPr>
          <w:rFonts w:ascii="Times New Roman" w:eastAsia="Times New Roman" w:hAnsi="Times New Roman" w:cs="Times New Roman"/>
          <w:sz w:val="24"/>
          <w:szCs w:val="24"/>
        </w:rPr>
        <w:t>to urbano, com o objetivo de ordenar o pleno desenvolvimento das funções sociais da cidade e garantir o bem-estar de seus habitantes;</w:t>
      </w:r>
    </w:p>
    <w:p w14:paraId="31A8B948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8BC26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compete aos Municípios processar, analisar e aprovar os projetos de regularização fundiária (art. 30, II</w:t>
      </w:r>
      <w:r>
        <w:rPr>
          <w:rFonts w:ascii="Times New Roman" w:eastAsia="Times New Roman" w:hAnsi="Times New Roman" w:cs="Times New Roman"/>
          <w:sz w:val="24"/>
          <w:szCs w:val="24"/>
        </w:rPr>
        <w:t>, da Lei 13.465/2017) e que a Regularização Fundiária Urbana - Reurb tem por objetivo identificar núcleos urbanos informais que devam ser regularizados, organizá-los e assegurar a prestação de serviços públicos aos ocupantes, de modo a melhorar as condiçõe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urbanísticas e ambientais, criando unidades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imobiliárias compatíveis com o ordenamento territorial urbano e constituindo sobre elas direitos reais em favor dos ocupantes (art. 10, incisos I e II, da Lei n. 13.465/2017);</w:t>
      </w:r>
    </w:p>
    <w:p w14:paraId="05B6D21A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6F02F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Regularização </w:t>
      </w:r>
      <w:r>
        <w:rPr>
          <w:rFonts w:ascii="Times New Roman" w:eastAsia="Times New Roman" w:hAnsi="Times New Roman" w:cs="Times New Roman"/>
          <w:sz w:val="24"/>
          <w:szCs w:val="24"/>
        </w:rPr>
        <w:t>Fundiária Urbana, prevista na Lei 13.465/2017, compreende duas modalidades, sendo</w:t>
      </w:r>
      <w:r w:rsidR="00D33A96">
        <w:rPr>
          <w:rFonts w:ascii="Times New Roman" w:eastAsia="Times New Roman" w:hAnsi="Times New Roman" w:cs="Times New Roman"/>
          <w:sz w:val="24"/>
          <w:szCs w:val="24"/>
        </w:rPr>
        <w:t xml:space="preserve"> 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dessas espécies a </w:t>
      </w:r>
      <w:r w:rsidRPr="00D33A96">
        <w:rPr>
          <w:rFonts w:ascii="Times New Roman" w:eastAsia="Times New Roman" w:hAnsi="Times New Roman" w:cs="Times New Roman"/>
          <w:bCs/>
          <w:sz w:val="24"/>
          <w:szCs w:val="24"/>
        </w:rPr>
        <w:t>Reurb de Interesse Social (Reurb-S), que diz respeito à regularização fundiária aplicável aos núcleos urbanos informais ocupados predominantemente por p</w:t>
      </w:r>
      <w:r w:rsidRPr="00D33A96">
        <w:rPr>
          <w:rFonts w:ascii="Times New Roman" w:eastAsia="Times New Roman" w:hAnsi="Times New Roman" w:cs="Times New Roman"/>
          <w:bCs/>
          <w:sz w:val="24"/>
          <w:szCs w:val="24"/>
        </w:rPr>
        <w:t>opulação de baixa renda, assim declarados em ato do Poder Executivo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13, inciso I da Lei 13.465/2017);</w:t>
      </w:r>
    </w:p>
    <w:p w14:paraId="0C591285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82AD1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Comentário Geral n. 7, do Comitê dos Direitos Econômicos, Sociais e Culturais da ONU, explicita que os despejos forçad</w:t>
      </w:r>
      <w:r>
        <w:rPr>
          <w:rFonts w:ascii="Times New Roman" w:eastAsia="Times New Roman" w:hAnsi="Times New Roman" w:cs="Times New Roman"/>
          <w:sz w:val="24"/>
          <w:szCs w:val="24"/>
        </w:rPr>
        <w:t>os não podem resultar em pessoas desabrigadas ou vulneráveis à violação dos direitos humanos, incumbindo ao Poder Público garantir alternativa de moradia aos que sofrerem despejos;</w:t>
      </w:r>
    </w:p>
    <w:p w14:paraId="2FFF7E1A" w14:textId="77777777" w:rsidR="004134AB" w:rsidRDefault="004134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56DAE" w14:textId="77777777" w:rsidR="004134AB" w:rsidRDefault="004134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4134AB">
        <w:rPr>
          <w:rFonts w:ascii="Times New Roman" w:eastAsia="Times New Roman" w:hAnsi="Times New Roman" w:cs="Times New Roman"/>
          <w:bCs/>
          <w:sz w:val="24"/>
          <w:szCs w:val="24"/>
        </w:rPr>
        <w:t xml:space="preserve">o teor da cautelar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incidental </w:t>
      </w:r>
      <w:r w:rsidRPr="004134AB">
        <w:rPr>
          <w:rFonts w:ascii="Times New Roman" w:eastAsia="Times New Roman" w:hAnsi="Times New Roman" w:cs="Times New Roman"/>
          <w:bCs/>
          <w:sz w:val="24"/>
          <w:szCs w:val="24"/>
        </w:rPr>
        <w:t xml:space="preserve">deferida pelo Min. Luís Roberto Barroso no âmbito da ADPF 828, determinando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4134AB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4134AB">
        <w:rPr>
          <w:rFonts w:ascii="Times New Roman" w:eastAsia="Times New Roman" w:hAnsi="Times New Roman" w:cs="Times New Roman"/>
          <w:b/>
          <w:sz w:val="24"/>
          <w:szCs w:val="24"/>
        </w:rPr>
        <w:t>riação imediata de Comissão de Conflitos Fundiários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34AB">
        <w:rPr>
          <w:rFonts w:ascii="Times New Roman" w:eastAsia="Times New Roman" w:hAnsi="Times New Roman" w:cs="Times New Roman"/>
          <w:b/>
          <w:sz w:val="24"/>
          <w:szCs w:val="24"/>
        </w:rPr>
        <w:t>nos Tribunais de Justiça</w:t>
      </w:r>
      <w:r w:rsidRPr="004134A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34AB">
        <w:rPr>
          <w:rFonts w:ascii="Times New Roman" w:eastAsia="Times New Roman" w:hAnsi="Times New Roman" w:cs="Times New Roman"/>
          <w:b/>
          <w:sz w:val="24"/>
          <w:szCs w:val="24"/>
        </w:rPr>
        <w:t>prevendo que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4134AB">
        <w:rPr>
          <w:rFonts w:ascii="Times New Roman" w:eastAsia="Times New Roman" w:hAnsi="Times New Roman" w:cs="Times New Roman"/>
          <w:b/>
          <w:sz w:val="24"/>
          <w:szCs w:val="24"/>
        </w:rPr>
        <w:t xml:space="preserve"> em caso 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r w:rsidRPr="004134AB">
        <w:rPr>
          <w:rFonts w:ascii="Times New Roman" w:eastAsia="Times New Roman" w:hAnsi="Times New Roman" w:cs="Times New Roman"/>
          <w:b/>
          <w:sz w:val="24"/>
          <w:szCs w:val="24"/>
        </w:rPr>
        <w:t>medidas administrativas que possam resultar em remoções coletivas de pessoas vulneráveis, o Poder Público deverá</w:t>
      </w:r>
      <w:r w:rsidRPr="004134AB">
        <w:rPr>
          <w:rFonts w:ascii="Times New Roman" w:eastAsia="Times New Roman" w:hAnsi="Times New Roman" w:cs="Times New Roman"/>
          <w:bCs/>
          <w:sz w:val="24"/>
          <w:szCs w:val="24"/>
        </w:rPr>
        <w:t xml:space="preserve"> (i) </w:t>
      </w:r>
      <w:r w:rsidRPr="004134AB">
        <w:rPr>
          <w:rFonts w:ascii="Times New Roman" w:eastAsia="Times New Roman" w:hAnsi="Times New Roman" w:cs="Times New Roman"/>
          <w:b/>
          <w:sz w:val="24"/>
          <w:szCs w:val="24"/>
        </w:rPr>
        <w:t>dar ciência prévia e ouvir os representantes das comunidades afetadas</w:t>
      </w:r>
      <w:r w:rsidRPr="004134AB">
        <w:rPr>
          <w:rFonts w:ascii="Times New Roman" w:eastAsia="Times New Roman" w:hAnsi="Times New Roman" w:cs="Times New Roman"/>
          <w:bCs/>
          <w:sz w:val="24"/>
          <w:szCs w:val="24"/>
        </w:rPr>
        <w:t xml:space="preserve">; (ii) </w:t>
      </w:r>
      <w:r w:rsidRPr="004134AB">
        <w:rPr>
          <w:rFonts w:ascii="Times New Roman" w:eastAsia="Times New Roman" w:hAnsi="Times New Roman" w:cs="Times New Roman"/>
          <w:b/>
          <w:sz w:val="24"/>
          <w:szCs w:val="24"/>
        </w:rPr>
        <w:t>conceder prazo razoável para a desocupação pela população envolvida</w:t>
      </w:r>
      <w:r w:rsidRPr="004134AB">
        <w:rPr>
          <w:rFonts w:ascii="Times New Roman" w:eastAsia="Times New Roman" w:hAnsi="Times New Roman" w:cs="Times New Roman"/>
          <w:bCs/>
          <w:sz w:val="24"/>
          <w:szCs w:val="24"/>
        </w:rPr>
        <w:t xml:space="preserve">; e (iii) </w:t>
      </w:r>
      <w:r w:rsidRPr="004134AB">
        <w:rPr>
          <w:rFonts w:ascii="Times New Roman" w:eastAsia="Times New Roman" w:hAnsi="Times New Roman" w:cs="Times New Roman"/>
          <w:b/>
          <w:sz w:val="24"/>
          <w:szCs w:val="24"/>
        </w:rPr>
        <w:t>garantir o encaminhamento das pessoas em situação de vulnerabilidade social para abrigos públicos (ou local com condições dignas) ou adotar outra medida eficaz para resguardar o direito à moradia</w:t>
      </w:r>
      <w:r w:rsidRPr="004134A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7522A">
        <w:rPr>
          <w:rFonts w:ascii="Times New Roman" w:eastAsia="Times New Roman" w:hAnsi="Times New Roman" w:cs="Times New Roman"/>
          <w:b/>
          <w:sz w:val="24"/>
          <w:szCs w:val="24"/>
        </w:rPr>
        <w:t>vedando-se, em qualquer caso, a separação de membros de uma mesma família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07522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7522A" w:rsidRPr="0007522A">
        <w:rPr>
          <w:rFonts w:ascii="Times New Roman" w:eastAsia="Times New Roman" w:hAnsi="Times New Roman" w:cs="Times New Roman"/>
          <w:b/>
          <w:sz w:val="24"/>
          <w:szCs w:val="24"/>
        </w:rPr>
        <w:t>reconhecendo, com isso tese da</w:t>
      </w:r>
      <w:r w:rsidR="0007522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07522A" w:rsidRPr="0007522A">
        <w:rPr>
          <w:rFonts w:ascii="Times New Roman" w:eastAsia="Times New Roman" w:hAnsi="Times New Roman" w:cs="Times New Roman"/>
          <w:b/>
          <w:sz w:val="24"/>
          <w:szCs w:val="24"/>
        </w:rPr>
        <w:t>Desocupação Humanizada</w:t>
      </w:r>
      <w:r w:rsidR="0007522A" w:rsidRPr="0007522A">
        <w:rPr>
          <w:rFonts w:ascii="Times New Roman" w:eastAsia="Times New Roman" w:hAnsi="Times New Roman" w:cs="Times New Roman"/>
          <w:bCs/>
          <w:sz w:val="24"/>
          <w:szCs w:val="24"/>
        </w:rPr>
        <w:t>”;</w:t>
      </w:r>
    </w:p>
    <w:p w14:paraId="3A9D9BEE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B73CCB5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existência de vários julgados proferidos pelo Superior Tribunal de Justiça, no bojo de ações de desapropriação, em que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Corte reconhece os direitos possessórios sobre o bem desapropriando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(EDcl no AgRg no Agravo em REsp nº 361.177/RJ; AgRg no AgRg no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 1226040/SP; Agravo no REsp 19966/SP), de modo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que,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hipótese de remoção das famílias ocupantes, deve-se assegurar a indenização não só pelas acessões, mas também pelo valor da posse, conferindo-se montante suficiente para a aquisição de moradia em pad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rão adequado de dignidade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810E07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DC317" w14:textId="73051E7A" w:rsidR="00863A84" w:rsidRPr="004134AB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4AB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se trata de comunidade tradicional cigana. </w:t>
      </w:r>
    </w:p>
    <w:p w14:paraId="0EF21F9A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30D0A" w14:textId="77777777" w:rsidR="004134AB" w:rsidRDefault="004134AB" w:rsidP="004134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remoção das famílias e a inserção delas em atendimento provisório (por meio de programa de aluguel social)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ainda que pago com recursos do Poder Público,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têm efeitos no mercado imobiliário e implica em gastos para o Estado e desconforto para as famílias</w:t>
      </w:r>
      <w:r>
        <w:rPr>
          <w:rFonts w:ascii="Times New Roman" w:eastAsia="Times New Roman" w:hAnsi="Times New Roman" w:cs="Times New Roman"/>
          <w:sz w:val="24"/>
          <w:szCs w:val="24"/>
        </w:rPr>
        <w:t>, que estarão em uma situação provisória e submetidas a cíclicos reajustes de valor de mensalidade de locação imobiliária;</w:t>
      </w:r>
    </w:p>
    <w:p w14:paraId="65083E61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DF1EC" w14:textId="77777777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promover a difusão e a conscientização dos direitos humanos, da cidadania e do ordenamento jurídico; promove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ação civil pública e todas as espécies de ações capazes de propiciar a adequada tutela dos direitos difusos, coletivos ou individuais homogêneos quando o resultado da demanda puder beneficiar grupo de pessoas hipossuficientes; exercer a defesa dos direit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e interesses individuais, difusos, coletivos e individuais homogêneos e dos direitos do consumidor, na forma do inciso LXXIV do art. 5º da Constituição Federal; promover a mais ampla defesa dos direitos fundamentais dos necessitados, abrangendo seus dir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</w:t>
      </w:r>
      <w:r>
        <w:rPr>
          <w:rFonts w:ascii="Times New Roman" w:eastAsia="Times New Roman" w:hAnsi="Times New Roman" w:cs="Times New Roman"/>
          <w:sz w:val="24"/>
          <w:szCs w:val="24"/>
        </w:rPr>
        <w:t>cio pleno de seus direitos e garantias fundamentais, conforme o disposto no art. 4º, II, III, VII, VIII, X, da Lei Complementar Federal nº 80/94;</w:t>
      </w:r>
    </w:p>
    <w:p w14:paraId="3146A6AE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520AC" w14:textId="08F6E37A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apurar a si</w:t>
      </w:r>
      <w:r>
        <w:rPr>
          <w:rFonts w:ascii="Times New Roman" w:eastAsia="Times New Roman" w:hAnsi="Times New Roman" w:cs="Times New Roman"/>
          <w:sz w:val="24"/>
          <w:szCs w:val="24"/>
        </w:rPr>
        <w:t>tuação e tentar uma composição amigável junto com outras instituições de Justiça como o Ministério Público Estadual e Federal, se for o caso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7360EA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8034C" w14:textId="50452D46" w:rsidR="00863A84" w:rsidRDefault="006210F0" w:rsidP="006210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tanto, a Defensora tentará  uma reunião com o Município de Esmeraldas sem prejuízo do acompanhamento do processo eletrônico. </w:t>
      </w:r>
    </w:p>
    <w:p w14:paraId="133C244F" w14:textId="77777777" w:rsidR="006210F0" w:rsidRDefault="006210F0" w:rsidP="006210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535113" w14:textId="1E81A8B1" w:rsidR="00863A84" w:rsidRDefault="006210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utue-se. Cumpra-se.</w:t>
      </w:r>
      <w:r w:rsidR="00EF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 Horizonte/MG</w:t>
      </w:r>
      <w:r>
        <w:rPr>
          <w:rFonts w:ascii="Times New Roman" w:eastAsia="Times New Roman" w:hAnsi="Times New Roman" w:cs="Times New Roman"/>
          <w:sz w:val="24"/>
          <w:szCs w:val="24"/>
        </w:rPr>
        <w:t>, 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junh</w:t>
      </w:r>
      <w:r>
        <w:rPr>
          <w:rFonts w:ascii="Times New Roman" w:eastAsia="Times New Roman" w:hAnsi="Times New Roman" w:cs="Times New Roman"/>
          <w:sz w:val="24"/>
          <w:szCs w:val="24"/>
        </w:rPr>
        <w:t>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5A3744" w14:textId="77777777" w:rsidR="00863A84" w:rsidRDefault="00863A8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072517" w14:textId="77777777" w:rsidR="0007522A" w:rsidRDefault="000752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FB7EEA" w14:textId="7C95F86E" w:rsidR="00863A84" w:rsidRDefault="006210F0" w:rsidP="000752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CLEIDE APARECIDA NEPOMUCENO</w:t>
      </w:r>
    </w:p>
    <w:p w14:paraId="68509242" w14:textId="16CC88B3" w:rsidR="006210F0" w:rsidRDefault="006210F0" w:rsidP="000752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Defensora Pública </w:t>
      </w:r>
    </w:p>
    <w:p w14:paraId="373BC711" w14:textId="28296706" w:rsidR="006210F0" w:rsidRDefault="006210F0" w:rsidP="0007522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MADEP 489D/MG</w:t>
      </w:r>
    </w:p>
    <w:sectPr w:rsidR="006210F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A0057" w14:textId="77777777" w:rsidR="00CA0550" w:rsidRDefault="00CA0550">
      <w:pPr>
        <w:spacing w:after="0" w:line="240" w:lineRule="auto"/>
      </w:pPr>
      <w:r>
        <w:separator/>
      </w:r>
    </w:p>
  </w:endnote>
  <w:endnote w:type="continuationSeparator" w:id="0">
    <w:p w14:paraId="133557D3" w14:textId="77777777" w:rsidR="00CA0550" w:rsidRDefault="00CA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2BBB" w14:textId="77777777" w:rsidR="00863A84" w:rsidRDefault="006210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52A2">
      <w:rPr>
        <w:noProof/>
        <w:color w:val="000000"/>
      </w:rPr>
      <w:t>1</w:t>
    </w:r>
    <w:r>
      <w:rPr>
        <w:color w:val="000000"/>
      </w:rPr>
      <w:fldChar w:fldCharType="end"/>
    </w:r>
  </w:p>
  <w:p w14:paraId="68164B38" w14:textId="77777777" w:rsidR="00863A84" w:rsidRDefault="006210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Coordenadoria Estratégica em Tutela </w:t>
    </w:r>
    <w:r>
      <w:rPr>
        <w:rFonts w:ascii="Times New Roman" w:eastAsia="Times New Roman" w:hAnsi="Times New Roman" w:cs="Times New Roman"/>
        <w:color w:val="000000"/>
      </w:rPr>
      <w:t>Coletiva</w:t>
    </w:r>
  </w:p>
  <w:p w14:paraId="3A509C94" w14:textId="77777777" w:rsidR="00863A84" w:rsidRDefault="006210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CD2C" w14:textId="77777777" w:rsidR="00CA0550" w:rsidRDefault="00CA0550">
      <w:pPr>
        <w:spacing w:after="0" w:line="240" w:lineRule="auto"/>
      </w:pPr>
      <w:r>
        <w:separator/>
      </w:r>
    </w:p>
  </w:footnote>
  <w:footnote w:type="continuationSeparator" w:id="0">
    <w:p w14:paraId="160EF6ED" w14:textId="77777777" w:rsidR="00CA0550" w:rsidRDefault="00CA0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6479" w14:textId="77777777" w:rsidR="00863A84" w:rsidRDefault="006210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B45F3C1" wp14:editId="15A4D9B4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547257" w14:textId="77777777" w:rsidR="00863A84" w:rsidRDefault="00863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B77E1"/>
    <w:multiLevelType w:val="multilevel"/>
    <w:tmpl w:val="7172A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2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84"/>
    <w:rsid w:val="0007522A"/>
    <w:rsid w:val="00182684"/>
    <w:rsid w:val="002D3F40"/>
    <w:rsid w:val="00345141"/>
    <w:rsid w:val="004134AB"/>
    <w:rsid w:val="004B61F6"/>
    <w:rsid w:val="006210F0"/>
    <w:rsid w:val="00791554"/>
    <w:rsid w:val="00863A84"/>
    <w:rsid w:val="00A46A13"/>
    <w:rsid w:val="00B62F57"/>
    <w:rsid w:val="00B63CC2"/>
    <w:rsid w:val="00CA0550"/>
    <w:rsid w:val="00D33A96"/>
    <w:rsid w:val="00D752A2"/>
    <w:rsid w:val="00DC13DF"/>
    <w:rsid w:val="00E63882"/>
    <w:rsid w:val="00E706AA"/>
    <w:rsid w:val="00E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EF3C"/>
  <w15:docId w15:val="{7E120AAD-8A16-400D-A97B-11049ACF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FB726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726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B7269"/>
    <w:rPr>
      <w:vertAlign w:val="superscript"/>
    </w:rPr>
  </w:style>
  <w:style w:type="paragraph" w:styleId="TextosemFormatao">
    <w:name w:val="Plain Text"/>
    <w:basedOn w:val="Normal"/>
    <w:link w:val="TextosemFormataoChar"/>
    <w:rsid w:val="00EF1AD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EF1ADA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EF1ADA"/>
    <w:pPr>
      <w:spacing w:after="0" w:line="240" w:lineRule="auto"/>
    </w:pPr>
    <w:rPr>
      <w:rFonts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L+XyEzh8ZcdPPVvhwS7NMEP0g==">CgMxLjA4AHIhMTk3d045ZkJoZEJ6cTFXUG5JY3V5VElnRTJpQ1ZiNUQ0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CC021C-AED0-4764-8159-8B593FEB489C}"/>
</file>

<file path=customXml/itemProps3.xml><?xml version="1.0" encoding="utf-8"?>
<ds:datastoreItem xmlns:ds="http://schemas.openxmlformats.org/officeDocument/2006/customXml" ds:itemID="{C1075442-D3B6-4314-81D0-08F0BB56A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1547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Cleide Nepomuceno</cp:lastModifiedBy>
  <cp:revision>6</cp:revision>
  <dcterms:created xsi:type="dcterms:W3CDTF">2023-06-19T20:32:00Z</dcterms:created>
  <dcterms:modified xsi:type="dcterms:W3CDTF">2023-06-19T20:38:00Z</dcterms:modified>
</cp:coreProperties>
</file>