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26B" w:rsidRPr="006119A2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 w:rsidRPr="006119A2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:rsidR="007C526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:rsidR="007C526B" w:rsidRDefault="007C526B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7C526B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PTAC nº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04</w:t>
      </w:r>
      <w:r w:rsidR="00F6462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/2022</w:t>
      </w:r>
    </w:p>
    <w:p w:rsidR="006119A2" w:rsidRDefault="006119A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526B" w:rsidRDefault="00000000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226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</w:t>
      </w:r>
      <w:r w:rsidR="00F6462A">
        <w:rPr>
          <w:rFonts w:ascii="Times New Roman" w:eastAsia="Times New Roman" w:hAnsi="Times New Roman" w:cs="Times New Roman"/>
          <w:b/>
          <w:sz w:val="24"/>
          <w:szCs w:val="24"/>
        </w:rPr>
        <w:t>Proibição ilegal de entrada de adolescentes desacompanhados a Shopping Center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6462A">
        <w:rPr>
          <w:rFonts w:ascii="Times New Roman" w:eastAsia="Times New Roman" w:hAnsi="Times New Roman" w:cs="Times New Roman"/>
          <w:b/>
          <w:sz w:val="24"/>
          <w:szCs w:val="24"/>
        </w:rPr>
        <w:t>Direito ao lazer</w:t>
      </w:r>
      <w:r w:rsidR="00F6462A">
        <w:rPr>
          <w:rFonts w:ascii="Times New Roman" w:eastAsia="Times New Roman" w:hAnsi="Times New Roman" w:cs="Times New Roman"/>
          <w:b/>
          <w:sz w:val="24"/>
          <w:szCs w:val="24"/>
        </w:rPr>
        <w:t>. Liberdade</w:t>
      </w:r>
      <w:r w:rsidR="00F6462A">
        <w:rPr>
          <w:rFonts w:ascii="Times New Roman" w:eastAsia="Times New Roman" w:hAnsi="Times New Roman" w:cs="Times New Roman"/>
          <w:b/>
          <w:sz w:val="24"/>
          <w:szCs w:val="24"/>
        </w:rPr>
        <w:t xml:space="preserve"> de ir e vir.</w:t>
      </w:r>
      <w:r w:rsidR="00F646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462A">
        <w:rPr>
          <w:rFonts w:ascii="Times New Roman" w:eastAsia="Times New Roman" w:hAnsi="Times New Roman" w:cs="Times New Roman"/>
          <w:b/>
          <w:sz w:val="24"/>
          <w:szCs w:val="24"/>
        </w:rPr>
        <w:t>Rolezinho</w:t>
      </w:r>
      <w:proofErr w:type="spellEnd"/>
      <w:r w:rsidR="00F6462A">
        <w:rPr>
          <w:rFonts w:ascii="Times New Roman" w:eastAsia="Times New Roman" w:hAnsi="Times New Roman" w:cs="Times New Roman"/>
          <w:b/>
          <w:sz w:val="24"/>
          <w:szCs w:val="24"/>
        </w:rPr>
        <w:t>. Apuração de eventual discriminação racial e de classe social.</w:t>
      </w:r>
    </w:p>
    <w:p w:rsidR="007C526B" w:rsidRDefault="007C526B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 e XI,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apurar </w:t>
      </w:r>
      <w:r w:rsidR="00F6462A">
        <w:rPr>
          <w:rFonts w:ascii="Times New Roman" w:eastAsia="Times New Roman" w:hAnsi="Times New Roman" w:cs="Times New Roman"/>
          <w:sz w:val="24"/>
          <w:szCs w:val="24"/>
        </w:rPr>
        <w:t>a proibição ilegal de acesso de adolescentes desacompanhados de pais ou responsáveis às dependências de Shopping Center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F6462A">
        <w:rPr>
          <w:rFonts w:ascii="Times New Roman" w:eastAsia="Times New Roman" w:hAnsi="Times New Roman" w:cs="Times New Roman"/>
          <w:sz w:val="24"/>
          <w:szCs w:val="24"/>
        </w:rPr>
        <w:t xml:space="preserve"> assegura</w:t>
      </w:r>
      <w:r w:rsidR="003A4FC8">
        <w:rPr>
          <w:rFonts w:ascii="Times New Roman" w:eastAsia="Times New Roman" w:hAnsi="Times New Roman" w:cs="Times New Roman"/>
          <w:sz w:val="24"/>
          <w:szCs w:val="24"/>
        </w:rPr>
        <w:t>n</w:t>
      </w:r>
      <w:r w:rsidR="00F6462A">
        <w:rPr>
          <w:rFonts w:ascii="Times New Roman" w:eastAsia="Times New Roman" w:hAnsi="Times New Roman" w:cs="Times New Roman"/>
          <w:sz w:val="24"/>
          <w:szCs w:val="24"/>
        </w:rPr>
        <w:t>do a liberdade de ir e vir, bem como o direito ao laze</w:t>
      </w:r>
      <w:r w:rsidR="003A4FC8">
        <w:rPr>
          <w:rFonts w:ascii="Times New Roman" w:eastAsia="Times New Roman" w:hAnsi="Times New Roman" w:cs="Times New Roman"/>
          <w:sz w:val="24"/>
          <w:szCs w:val="24"/>
        </w:rPr>
        <w:t>r, garantidos a este grupo vulnerabilizado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11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FC8">
        <w:rPr>
          <w:rFonts w:ascii="Times New Roman" w:eastAsia="Times New Roman" w:hAnsi="Times New Roman" w:cs="Times New Roman"/>
          <w:sz w:val="24"/>
          <w:szCs w:val="24"/>
        </w:rPr>
        <w:t>averiguando, ainda, eventual prática discriminatória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Defensoria Pública do Estado de Minas Gerais tomou conhecimento, por 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 de seus membros, que </w:t>
      </w:r>
      <w:r w:rsidR="003A4FC8">
        <w:rPr>
          <w:rFonts w:ascii="Times New Roman" w:eastAsia="Times New Roman" w:hAnsi="Times New Roman" w:cs="Times New Roman"/>
          <w:sz w:val="24"/>
          <w:szCs w:val="24"/>
        </w:rPr>
        <w:t>o Shopping Estação, situado na região de Venda Nova, na cidade de Belo Horizonte/MG, estaria impedindo a entrada de adolescentes desacompanhados de seus pais ou responsáveis em suas dependências, fatos que estariam atingindo especialmente a liberdade de ir e vir de pessoas negras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3A4FC8">
        <w:rPr>
          <w:rFonts w:ascii="Times New Roman" w:eastAsia="Times New Roman" w:hAnsi="Times New Roman" w:cs="Times New Roman"/>
          <w:sz w:val="24"/>
          <w:szCs w:val="24"/>
        </w:rPr>
        <w:t>Shopping Centers</w:t>
      </w: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art. 5º, inciso LXXIV, e art. 134, da Constituição da República Federativa do Brasil de 1988 (CRFB/1988) e do art. 1º, da Lei Complementar Federal nº 80/1994;</w:t>
      </w: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dever do Estado dar efetividade aos princípios constitucionais da cidadania e da dignidade da pessoa humana, bem como cumprir com seus objetivos fundamentais de construir uma sociedade livre, justa e solidária, além de promover o bem de todos, sem preconceitos de raça, sexo ou quaisquer outras formas de discriminação (art. 1º, II e III, e art. 3º, I e IV, da </w:t>
      </w:r>
      <w:r w:rsidR="000163C5">
        <w:rPr>
          <w:rFonts w:ascii="Times New Roman" w:eastAsia="Times New Roman" w:hAnsi="Times New Roman" w:cs="Times New Roman"/>
          <w:sz w:val="24"/>
          <w:szCs w:val="24"/>
        </w:rPr>
        <w:t>CRFB/1988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Constituição Federal se preocupou em prever, no rol de direitos e garantias fundamentais, a liberdade de locomoção no território nacional em tempos de paz, podendo qualquer pessoa, nos termos da lei, nele entrar, permanecer, ou dele sair com seus bens (art. 5°, XV da CRFB/</w:t>
      </w:r>
      <w:r w:rsidR="003A4FC8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88);</w:t>
      </w:r>
    </w:p>
    <w:p w:rsidR="003A4FC8" w:rsidRDefault="003A4F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FC8" w:rsidRDefault="003A4F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ainda dentre as garantias fundamentais, encontra-se prevista a liberdade de reunião </w:t>
      </w:r>
      <w:r w:rsidRPr="003A4FC8">
        <w:rPr>
          <w:rFonts w:ascii="Times New Roman" w:eastAsia="Times New Roman" w:hAnsi="Times New Roman" w:cs="Times New Roman"/>
          <w:sz w:val="24"/>
          <w:szCs w:val="24"/>
        </w:rPr>
        <w:t>pac</w:t>
      </w:r>
      <w:r>
        <w:rPr>
          <w:rFonts w:ascii="Times New Roman" w:eastAsia="Times New Roman" w:hAnsi="Times New Roman" w:cs="Times New Roman"/>
          <w:sz w:val="24"/>
          <w:szCs w:val="24"/>
        </w:rPr>
        <w:t>ífica</w:t>
      </w:r>
      <w:r w:rsidRPr="003A4FC8">
        <w:rPr>
          <w:rFonts w:ascii="Times New Roman" w:eastAsia="Times New Roman" w:hAnsi="Times New Roman" w:cs="Times New Roman"/>
          <w:sz w:val="24"/>
          <w:szCs w:val="24"/>
        </w:rPr>
        <w:t>, em locais abertos ao público, independentemente de autorização, desde que não frustrem outra reunião anteriormente convocada para o mesmo local, sendo apenas exigido prévio aviso à autoridade competente</w:t>
      </w:r>
      <w:r>
        <w:rPr>
          <w:rFonts w:ascii="Times New Roman" w:eastAsia="Times New Roman" w:hAnsi="Times New Roman" w:cs="Times New Roman"/>
          <w:sz w:val="24"/>
          <w:szCs w:val="24"/>
        </w:rPr>
        <w:t>, nos termos do art. 5º, inciso XVI, da CRFB/1988;</w:t>
      </w:r>
    </w:p>
    <w:p w:rsidR="000955C0" w:rsidRDefault="000955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55C0" w:rsidRDefault="000955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55C0" w:rsidRDefault="000955C0" w:rsidP="000955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Constituição Federal prevê que a </w:t>
      </w:r>
      <w:r w:rsidRPr="000955C0">
        <w:rPr>
          <w:rFonts w:ascii="Times New Roman" w:eastAsia="Times New Roman" w:hAnsi="Times New Roman" w:cs="Times New Roman"/>
          <w:sz w:val="24"/>
          <w:szCs w:val="24"/>
        </w:rPr>
        <w:t xml:space="preserve">lei punirá qualquer discriminação atentatória </w:t>
      </w:r>
      <w:r>
        <w:rPr>
          <w:rFonts w:ascii="Times New Roman" w:eastAsia="Times New Roman" w:hAnsi="Times New Roman" w:cs="Times New Roman"/>
          <w:sz w:val="24"/>
          <w:szCs w:val="24"/>
        </w:rPr>
        <w:t>contra os</w:t>
      </w:r>
      <w:r w:rsidRPr="000955C0">
        <w:rPr>
          <w:rFonts w:ascii="Times New Roman" w:eastAsia="Times New Roman" w:hAnsi="Times New Roman" w:cs="Times New Roman"/>
          <w:sz w:val="24"/>
          <w:szCs w:val="24"/>
        </w:rPr>
        <w:t xml:space="preserve"> direitos e liberdades fundamentais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estabelecendo, ainda, que a </w:t>
      </w:r>
      <w:r w:rsidRPr="000955C0">
        <w:rPr>
          <w:rFonts w:ascii="Times New Roman" w:eastAsia="Times New Roman" w:hAnsi="Times New Roman" w:cs="Times New Roman"/>
          <w:sz w:val="24"/>
          <w:szCs w:val="24"/>
        </w:rPr>
        <w:t xml:space="preserve">prática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0955C0">
        <w:rPr>
          <w:rFonts w:ascii="Times New Roman" w:eastAsia="Times New Roman" w:hAnsi="Times New Roman" w:cs="Times New Roman"/>
          <w:sz w:val="24"/>
          <w:szCs w:val="24"/>
        </w:rPr>
        <w:t xml:space="preserve"> racismo constitui crime inafiançável e imprescritível, sujeito à pena de reclusão, nos termos da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5º, incisos XLI e XLII, da CRFB/1988);</w:t>
      </w:r>
    </w:p>
    <w:p w:rsidR="000955C0" w:rsidRDefault="000955C0" w:rsidP="000955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55C0" w:rsidRDefault="000955C0" w:rsidP="000955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a Lei 7.716/1989, em seu art. 5º, tipifica como crime de racismo a conduta de r</w:t>
      </w:r>
      <w:r w:rsidRPr="000955C0">
        <w:rPr>
          <w:rFonts w:ascii="Times New Roman" w:eastAsia="Times New Roman" w:hAnsi="Times New Roman" w:cs="Times New Roman"/>
          <w:sz w:val="24"/>
          <w:szCs w:val="24"/>
        </w:rPr>
        <w:t>ecusar ou impedir acesso a estabelecimento comercial, negando-se a servir, atender ou receber cliente ou comprado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são direitos sociais amparados pela Carta Magna, entre outros,</w:t>
      </w:r>
      <w:r w:rsidR="000955C0">
        <w:rPr>
          <w:rFonts w:ascii="Times New Roman" w:eastAsia="Times New Roman" w:hAnsi="Times New Roman" w:cs="Times New Roman"/>
          <w:sz w:val="24"/>
          <w:szCs w:val="24"/>
        </w:rPr>
        <w:t xml:space="preserve"> o acesso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5C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 lazer</w:t>
      </w:r>
      <w:r w:rsidR="000955C0">
        <w:rPr>
          <w:rFonts w:ascii="Times New Roman" w:eastAsia="Times New Roman" w:hAnsi="Times New Roman" w:cs="Times New Roman"/>
          <w:sz w:val="24"/>
          <w:szCs w:val="24"/>
        </w:rPr>
        <w:t xml:space="preserve">, nos moldes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art. 6°,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>, da CRFB/</w:t>
      </w:r>
      <w:r w:rsidR="000955C0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88;</w:t>
      </w: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constitui dever da família, da sociedade e do Estado assegurar à criança, adolescente e jovem, com absoluta prioridade, dentre outras garantias, o direito ao lazer, além de colocá-los a salvo de toda forma de negligência, discriminação, exploração, violência, crueldade e opressão, nos moldes do art. 227, da </w:t>
      </w:r>
      <w:r w:rsidR="000955C0">
        <w:rPr>
          <w:rFonts w:ascii="Times New Roman" w:eastAsia="Times New Roman" w:hAnsi="Times New Roman" w:cs="Times New Roman"/>
          <w:sz w:val="24"/>
          <w:szCs w:val="24"/>
        </w:rPr>
        <w:t>CRFB/1988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Lei 8.069 (Estatuto da Criança e do Adolescente - ECA), nos moldes de seus artigos 1º e 3º, estatui a doutrina da proteção integral, atribuindo às crianças e adolescentes a condição de sujeitos de direito, titulares de todas garantias fundamentais inerentes à pessoa humana, a fim de </w:t>
      </w:r>
      <w:r w:rsidRPr="00CF221A">
        <w:rPr>
          <w:rFonts w:ascii="Times New Roman" w:eastAsia="Times New Roman" w:hAnsi="Times New Roman" w:cs="Times New Roman"/>
          <w:sz w:val="24"/>
          <w:szCs w:val="24"/>
        </w:rPr>
        <w:t>lhes permitir o pleno desenvolvimento físico, mental, moral, espiritual e social, em condições de liberdade e de dignidade;</w:t>
      </w: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é função institucional da Defensoria Pública atuar na promoção, </w:t>
      </w:r>
      <w:r w:rsidRPr="00CF221A">
        <w:rPr>
          <w:rFonts w:ascii="Times New Roman" w:eastAsia="Times New Roman" w:hAnsi="Times New Roman" w:cs="Times New Roman"/>
          <w:bCs/>
          <w:sz w:val="24"/>
          <w:szCs w:val="24"/>
        </w:rPr>
        <w:t>proteção e defesa dos direitos das crianças e adolescentes</w:t>
      </w:r>
      <w:r>
        <w:rPr>
          <w:rFonts w:ascii="Times New Roman" w:eastAsia="Times New Roman" w:hAnsi="Times New Roman" w:cs="Times New Roman"/>
          <w:sz w:val="24"/>
          <w:szCs w:val="24"/>
        </w:rPr>
        <w:t>, nos termos do art. 4°, XI da Lei Complementar Federal 80/94</w:t>
      </w:r>
      <w:r w:rsidR="000955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sendo assegurado a estes sujeitos em desenvolvimento o acesso aos serviços de assistência e orientação jurídica integral e gratuita, prestados pela instituição, nos moldes do art. 70-A, inciso II, e art. 141, ambos da Lei 8.069</w:t>
      </w:r>
      <w:r w:rsidR="000955C0">
        <w:rPr>
          <w:rFonts w:ascii="Times New Roman" w:eastAsia="Times New Roman" w:hAnsi="Times New Roman" w:cs="Times New Roman"/>
          <w:sz w:val="24"/>
          <w:szCs w:val="24"/>
        </w:rPr>
        <w:t>/1990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(Estatuto da Criança e do Adolescente);</w:t>
      </w: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Estatuto da Criança e do Adolescente prevê</w:t>
      </w:r>
      <w:r w:rsidR="000955C0">
        <w:rPr>
          <w:rFonts w:ascii="Times New Roman" w:eastAsia="Times New Roman" w:hAnsi="Times New Roman" w:cs="Times New Roman"/>
          <w:sz w:val="24"/>
          <w:szCs w:val="24"/>
        </w:rPr>
        <w:t xml:space="preserve"> a liberdade de locomoção de adolescentes desacompanhados de pais ou responsáveis,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5C0">
        <w:rPr>
          <w:rFonts w:ascii="Times New Roman" w:eastAsia="Times New Roman" w:hAnsi="Times New Roman" w:cs="Times New Roman"/>
          <w:sz w:val="24"/>
          <w:szCs w:val="24"/>
        </w:rPr>
        <w:t xml:space="preserve">inclusive para a realização de viagens </w:t>
      </w:r>
      <w:r w:rsidR="00235923">
        <w:rPr>
          <w:rFonts w:ascii="Times New Roman" w:eastAsia="Times New Roman" w:hAnsi="Times New Roman" w:cs="Times New Roman"/>
          <w:sz w:val="24"/>
          <w:szCs w:val="24"/>
        </w:rPr>
        <w:t>com destino 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comarca contígua à d</w:t>
      </w:r>
      <w:r w:rsidR="00235923">
        <w:rPr>
          <w:rFonts w:ascii="Times New Roman" w:eastAsia="Times New Roman" w:hAnsi="Times New Roman" w:cs="Times New Roman"/>
          <w:sz w:val="24"/>
          <w:szCs w:val="24"/>
        </w:rPr>
        <w:t>e sua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residência, se na mesma unidade da Federação, ou incluída na mesma região metropolitana</w:t>
      </w:r>
      <w:r w:rsidR="00235923">
        <w:rPr>
          <w:rFonts w:ascii="Times New Roman" w:eastAsia="Times New Roman" w:hAnsi="Times New Roman" w:cs="Times New Roman"/>
          <w:sz w:val="24"/>
          <w:szCs w:val="24"/>
        </w:rPr>
        <w:t xml:space="preserve">, não se exigindo, nesses casos, autorização judicial ou sequer por escrito de seus responsáveis, nos termos do art. 83, § 1º, alínea “a”, do ECA e, </w:t>
      </w:r>
      <w:r w:rsidR="00235923">
        <w:rPr>
          <w:rFonts w:ascii="Times New Roman" w:eastAsia="Times New Roman" w:hAnsi="Times New Roman" w:cs="Times New Roman"/>
          <w:sz w:val="24"/>
          <w:szCs w:val="24"/>
        </w:rPr>
        <w:t>art. 2°,</w:t>
      </w:r>
      <w:r w:rsidR="00235923">
        <w:rPr>
          <w:rFonts w:ascii="Times New Roman" w:eastAsia="Times New Roman" w:hAnsi="Times New Roman" w:cs="Times New Roman"/>
          <w:sz w:val="24"/>
          <w:szCs w:val="24"/>
        </w:rPr>
        <w:t xml:space="preserve"> inciso</w:t>
      </w:r>
      <w:r w:rsidR="00235923">
        <w:rPr>
          <w:rFonts w:ascii="Times New Roman" w:eastAsia="Times New Roman" w:hAnsi="Times New Roman" w:cs="Times New Roman"/>
          <w:sz w:val="24"/>
          <w:szCs w:val="24"/>
        </w:rPr>
        <w:t xml:space="preserve"> II, b, da Res</w:t>
      </w:r>
      <w:r w:rsidR="00235923">
        <w:rPr>
          <w:rFonts w:ascii="Times New Roman" w:eastAsia="Times New Roman" w:hAnsi="Times New Roman" w:cs="Times New Roman"/>
          <w:sz w:val="24"/>
          <w:szCs w:val="24"/>
        </w:rPr>
        <w:t>olução</w:t>
      </w:r>
      <w:r w:rsidR="00235923">
        <w:rPr>
          <w:rFonts w:ascii="Times New Roman" w:eastAsia="Times New Roman" w:hAnsi="Times New Roman" w:cs="Times New Roman"/>
          <w:sz w:val="24"/>
          <w:szCs w:val="24"/>
        </w:rPr>
        <w:t xml:space="preserve"> 295</w:t>
      </w:r>
      <w:r w:rsidR="002359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5923">
        <w:rPr>
          <w:rFonts w:ascii="Times New Roman" w:eastAsia="Times New Roman" w:hAnsi="Times New Roman" w:cs="Times New Roman"/>
          <w:sz w:val="24"/>
          <w:szCs w:val="24"/>
        </w:rPr>
        <w:t>do CNJ</w:t>
      </w:r>
      <w:r w:rsidR="0023592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 II, III, VII, VIII, X, da Lei Complementar Federal nº 80/94;</w:t>
      </w: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</w:t>
      </w:r>
      <w:r w:rsidR="0023592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923">
        <w:rPr>
          <w:rFonts w:ascii="Times New Roman" w:eastAsia="Times New Roman" w:hAnsi="Times New Roman" w:cs="Times New Roman"/>
          <w:sz w:val="24"/>
          <w:szCs w:val="24"/>
        </w:rPr>
        <w:t>a fim de apurar a proibição ilegal de acesso de adolescentes desacompanhados de pais ou responsáveis às dependências de Shopping Center</w:t>
      </w:r>
      <w:r w:rsidR="002359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235923">
        <w:rPr>
          <w:rFonts w:ascii="Times New Roman" w:eastAsia="Times New Roman" w:hAnsi="Times New Roman" w:cs="Times New Roman"/>
          <w:sz w:val="24"/>
          <w:szCs w:val="24"/>
        </w:rPr>
        <w:t>, assegurando a liberdade de ir e vir, bem como o direito ao lazer, garantidos a este grupo vulnerabilizado, averiguando, ainda, eventual prática discriminatória</w:t>
      </w:r>
      <w:r w:rsidR="002359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Para tanto, determina-se a adoção das seguintes diligências:</w:t>
      </w: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2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juntada de ofícios, documentos e demais conteúdos relacionados ao caso;</w:t>
      </w:r>
    </w:p>
    <w:p w:rsidR="007C526B" w:rsidRDefault="007C526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26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elaboração de instrumentos extrajudiciais (ofícios, recomendações, informes técnico-jurídicos e outros) para atuação junto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às concessionárias de transporte público,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bem como para subsidiar o trabalho de Defensoras e Defensores Públicos da Criança e Adolescente quanto à matéria.</w:t>
      </w:r>
    </w:p>
    <w:p w:rsidR="007C526B" w:rsidRDefault="007C52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</w:t>
      </w: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Após, venham os autos conclusos para análise.</w:t>
      </w: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26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F7CA5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>dezembr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de 2022.</w:t>
      </w: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5923" w:rsidRDefault="002359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7CA5" w:rsidRDefault="00FF7C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26B" w:rsidRDefault="007C526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7CA5" w:rsidRPr="00FF7CA5" w:rsidRDefault="00FF7CA5" w:rsidP="00FF7CA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FF7CA5">
        <w:rPr>
          <w:rFonts w:ascii="Times New Roman" w:hAnsi="Times New Roman" w:cs="Times New Roman"/>
          <w:b/>
          <w:smallCaps/>
          <w:color w:val="000000"/>
        </w:rPr>
        <w:t>Paulo Cesar Azevedo de Almeida</w:t>
      </w:r>
    </w:p>
    <w:p w:rsidR="00FF7CA5" w:rsidRPr="00FF7CA5" w:rsidRDefault="00FF7CA5" w:rsidP="00FF7CA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FF7CA5">
        <w:rPr>
          <w:rFonts w:ascii="Times New Roman" w:hAnsi="Times New Roman" w:cs="Times New Roman"/>
          <w:b/>
          <w:smallCaps/>
          <w:color w:val="000000"/>
        </w:rPr>
        <w:t>Coordenadoria Estratégica em Tutela Coletiva</w:t>
      </w:r>
    </w:p>
    <w:p w:rsidR="00FF7CA5" w:rsidRDefault="00FF7CA5" w:rsidP="00FF7CA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FF7CA5">
        <w:rPr>
          <w:rFonts w:ascii="Times New Roman" w:hAnsi="Times New Roman" w:cs="Times New Roman"/>
          <w:b/>
          <w:smallCaps/>
          <w:color w:val="000000"/>
        </w:rPr>
        <w:t>Defensor Público</w:t>
      </w:r>
    </w:p>
    <w:p w:rsidR="00FF7CA5" w:rsidRPr="00FF7CA5" w:rsidRDefault="00FF7CA5" w:rsidP="00FF7CA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proofErr w:type="spellStart"/>
      <w:r w:rsidRPr="00FF7CA5">
        <w:rPr>
          <w:rFonts w:ascii="Times New Roman" w:hAnsi="Times New Roman" w:cs="Times New Roman"/>
          <w:b/>
          <w:smallCaps/>
          <w:color w:val="000000"/>
        </w:rPr>
        <w:t>Madep</w:t>
      </w:r>
      <w:proofErr w:type="spellEnd"/>
      <w:r w:rsidRPr="00FF7CA5">
        <w:rPr>
          <w:rFonts w:ascii="Times New Roman" w:hAnsi="Times New Roman" w:cs="Times New Roman"/>
          <w:b/>
          <w:smallCaps/>
          <w:color w:val="000000"/>
        </w:rPr>
        <w:t xml:space="preserve"> 883</w:t>
      </w:r>
    </w:p>
    <w:p w:rsidR="00FF7CA5" w:rsidRDefault="00FF7C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7CA5" w:rsidRDefault="00FF7C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7CA5" w:rsidRDefault="00FF7C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526B" w:rsidRPr="00FF7CA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FF7CA5">
        <w:rPr>
          <w:rFonts w:ascii="Times New Roman" w:hAnsi="Times New Roman" w:cs="Times New Roman"/>
          <w:b/>
          <w:smallCaps/>
          <w:color w:val="000000"/>
        </w:rPr>
        <w:t xml:space="preserve">Daniele </w:t>
      </w:r>
      <w:proofErr w:type="spellStart"/>
      <w:r w:rsidRPr="00FF7CA5">
        <w:rPr>
          <w:rFonts w:ascii="Times New Roman" w:hAnsi="Times New Roman" w:cs="Times New Roman"/>
          <w:b/>
          <w:smallCaps/>
          <w:color w:val="000000"/>
        </w:rPr>
        <w:t>Bellettato</w:t>
      </w:r>
      <w:proofErr w:type="spellEnd"/>
      <w:r w:rsidRPr="00FF7CA5">
        <w:rPr>
          <w:rFonts w:ascii="Times New Roman" w:hAnsi="Times New Roman" w:cs="Times New Roman"/>
          <w:b/>
          <w:smallCaps/>
          <w:color w:val="000000"/>
        </w:rPr>
        <w:t xml:space="preserve"> </w:t>
      </w:r>
      <w:proofErr w:type="spellStart"/>
      <w:r w:rsidRPr="00FF7CA5">
        <w:rPr>
          <w:rFonts w:ascii="Times New Roman" w:hAnsi="Times New Roman" w:cs="Times New Roman"/>
          <w:b/>
          <w:smallCaps/>
          <w:color w:val="000000"/>
        </w:rPr>
        <w:t>Nesrala</w:t>
      </w:r>
      <w:proofErr w:type="spellEnd"/>
    </w:p>
    <w:p w:rsidR="00FF7CA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FF7CA5">
        <w:rPr>
          <w:rFonts w:ascii="Times New Roman" w:hAnsi="Times New Roman" w:cs="Times New Roman"/>
          <w:b/>
          <w:smallCaps/>
          <w:color w:val="000000"/>
        </w:rPr>
        <w:t xml:space="preserve">Coordenadoria </w:t>
      </w:r>
      <w:proofErr w:type="spellStart"/>
      <w:r w:rsidRPr="00FF7CA5">
        <w:rPr>
          <w:rFonts w:ascii="Times New Roman" w:hAnsi="Times New Roman" w:cs="Times New Roman"/>
          <w:b/>
          <w:smallCaps/>
          <w:color w:val="000000"/>
        </w:rPr>
        <w:t>Estra</w:t>
      </w:r>
      <w:r w:rsidR="00FF7CA5">
        <w:rPr>
          <w:rFonts w:ascii="Times New Roman" w:hAnsi="Times New Roman" w:cs="Times New Roman"/>
          <w:b/>
          <w:smallCaps/>
          <w:color w:val="000000"/>
        </w:rPr>
        <w:t>dual</w:t>
      </w:r>
      <w:proofErr w:type="spellEnd"/>
      <w:r w:rsidRPr="00FF7CA5">
        <w:rPr>
          <w:rFonts w:ascii="Times New Roman" w:hAnsi="Times New Roman" w:cs="Times New Roman"/>
          <w:b/>
          <w:smallCaps/>
          <w:color w:val="000000"/>
        </w:rPr>
        <w:t xml:space="preserve"> de Defesa e Promoção dos Direitos </w:t>
      </w:r>
    </w:p>
    <w:p w:rsidR="007C526B" w:rsidRPr="00FF7CA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FF7CA5">
        <w:rPr>
          <w:rFonts w:ascii="Times New Roman" w:hAnsi="Times New Roman" w:cs="Times New Roman"/>
          <w:b/>
          <w:smallCaps/>
          <w:color w:val="000000"/>
        </w:rPr>
        <w:t>das Crianças e Adolescentes</w:t>
      </w:r>
    </w:p>
    <w:p w:rsidR="00FF7CA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FF7CA5">
        <w:rPr>
          <w:rFonts w:ascii="Times New Roman" w:hAnsi="Times New Roman" w:cs="Times New Roman"/>
          <w:b/>
          <w:smallCaps/>
          <w:color w:val="000000"/>
        </w:rPr>
        <w:t>Defensora Pública</w:t>
      </w:r>
    </w:p>
    <w:p w:rsidR="007C526B" w:rsidRPr="00FF7CA5" w:rsidRDefault="00000000" w:rsidP="00FF7CA5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proofErr w:type="spellStart"/>
      <w:r w:rsidRPr="00FF7CA5">
        <w:rPr>
          <w:rFonts w:ascii="Times New Roman" w:hAnsi="Times New Roman" w:cs="Times New Roman"/>
          <w:b/>
          <w:smallCaps/>
          <w:color w:val="000000"/>
        </w:rPr>
        <w:t>Madep</w:t>
      </w:r>
      <w:proofErr w:type="spellEnd"/>
      <w:r w:rsidRPr="00FF7CA5">
        <w:rPr>
          <w:rFonts w:ascii="Times New Roman" w:hAnsi="Times New Roman" w:cs="Times New Roman"/>
          <w:b/>
          <w:smallCaps/>
          <w:color w:val="000000"/>
        </w:rPr>
        <w:t xml:space="preserve"> 76</w:t>
      </w:r>
      <w:r w:rsidR="00FF7CA5">
        <w:rPr>
          <w:rFonts w:ascii="Times New Roman" w:hAnsi="Times New Roman" w:cs="Times New Roman"/>
          <w:b/>
          <w:smallCaps/>
          <w:color w:val="000000"/>
        </w:rPr>
        <w:t>1</w:t>
      </w:r>
    </w:p>
    <w:sectPr w:rsidR="007C526B" w:rsidRPr="00FF7CA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5CC2" w:rsidRDefault="00EB5CC2">
      <w:pPr>
        <w:spacing w:after="0" w:line="240" w:lineRule="auto"/>
      </w:pPr>
      <w:r>
        <w:separator/>
      </w:r>
    </w:p>
  </w:endnote>
  <w:endnote w:type="continuationSeparator" w:id="0">
    <w:p w:rsidR="00EB5CC2" w:rsidRDefault="00EB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52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119A2">
      <w:rPr>
        <w:noProof/>
        <w:color w:val="000000"/>
      </w:rPr>
      <w:t>1</w:t>
    </w:r>
    <w:r>
      <w:rPr>
        <w:color w:val="000000"/>
      </w:rPr>
      <w:fldChar w:fldCharType="end"/>
    </w:r>
  </w:p>
  <w:p w:rsidR="007C52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:rsidR="007C52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5CC2" w:rsidRDefault="00EB5CC2">
      <w:pPr>
        <w:spacing w:after="0" w:line="240" w:lineRule="auto"/>
      </w:pPr>
      <w:r>
        <w:separator/>
      </w:r>
    </w:p>
  </w:footnote>
  <w:footnote w:type="continuationSeparator" w:id="0">
    <w:p w:rsidR="00EB5CC2" w:rsidRDefault="00EB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52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80000" cy="108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C526B" w:rsidRDefault="007C52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85A4A"/>
    <w:multiLevelType w:val="multilevel"/>
    <w:tmpl w:val="440E25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26B"/>
    <w:rsid w:val="000163C5"/>
    <w:rsid w:val="000955C0"/>
    <w:rsid w:val="00235923"/>
    <w:rsid w:val="003A4FC8"/>
    <w:rsid w:val="004C3C33"/>
    <w:rsid w:val="006119A2"/>
    <w:rsid w:val="007C526B"/>
    <w:rsid w:val="00CF221A"/>
    <w:rsid w:val="00EB5CC2"/>
    <w:rsid w:val="00F6462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A808"/>
  <w15:docId w15:val="{8F4C0D10-B3DA-48EC-8972-24541C1A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character" w:styleId="nfase">
    <w:name w:val="Emphasis"/>
    <w:basedOn w:val="Fontepargpadro"/>
    <w:uiPriority w:val="20"/>
    <w:qFormat/>
    <w:rsid w:val="006967B7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+Apm8Lc37eM1gSLwHFF/5CWnEA==">AMUW2mVtCl2vVyc5g54z7cV0mIs1ik1HqDFjBqg8Zovh8VsiLYI9rKKHp26lZvfbrfTfIRAH0W0h8WY3TA/GfaddAXNybxS0xdUhse0E5ArutzYXLNIUytI=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73F16B-0E81-45AD-83BE-DCBBDE74F9D0}"/>
</file>

<file path=customXml/itemProps3.xml><?xml version="1.0" encoding="utf-8"?>
<ds:datastoreItem xmlns:ds="http://schemas.openxmlformats.org/officeDocument/2006/customXml" ds:itemID="{C5BE4553-1ABD-4675-86DB-D3607BBDDC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1302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4</cp:revision>
  <dcterms:created xsi:type="dcterms:W3CDTF">2022-08-08T18:20:00Z</dcterms:created>
  <dcterms:modified xsi:type="dcterms:W3CDTF">2022-12-19T19:31:00Z</dcterms:modified>
</cp:coreProperties>
</file>