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526B" w:rsidRPr="006119A2" w:rsidRDefault="00000000">
      <w:pPr>
        <w:spacing w:after="120"/>
        <w:jc w:val="center"/>
        <w:rPr>
          <w:rFonts w:ascii="Times New Roman" w:eastAsia="Times New Roman" w:hAnsi="Times New Roman" w:cs="Times New Roman"/>
          <w:b/>
          <w:smallCaps/>
          <w:sz w:val="24"/>
          <w:szCs w:val="24"/>
          <w:u w:val="single"/>
        </w:rPr>
      </w:pPr>
      <w:r w:rsidRPr="006119A2">
        <w:rPr>
          <w:rFonts w:ascii="Times New Roman" w:eastAsia="Times New Roman" w:hAnsi="Times New Roman" w:cs="Times New Roman"/>
          <w:b/>
          <w:smallCaps/>
          <w:sz w:val="24"/>
          <w:szCs w:val="24"/>
          <w:u w:val="single"/>
        </w:rPr>
        <w:t>Portaria de Instauração</w:t>
      </w:r>
    </w:p>
    <w:p w:rsidR="007C526B"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rsidR="007C526B" w:rsidRDefault="007C526B">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rsidR="007C526B" w:rsidRDefault="007C526B">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rsidR="007C526B" w:rsidRDefault="00000000">
      <w:pPr>
        <w:pBdr>
          <w:top w:val="nil"/>
          <w:left w:val="nil"/>
          <w:bottom w:val="nil"/>
          <w:right w:val="nil"/>
          <w:between w:val="nil"/>
        </w:pBdr>
        <w:spacing w:after="8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PTAC nº</w:t>
      </w:r>
      <w:r>
        <w:rPr>
          <w:rFonts w:ascii="Times New Roman" w:eastAsia="Times New Roman" w:hAnsi="Times New Roman" w:cs="Times New Roman"/>
          <w:b/>
          <w:sz w:val="24"/>
          <w:szCs w:val="24"/>
        </w:rPr>
        <w:t xml:space="preserve"> 042</w:t>
      </w:r>
      <w:r>
        <w:rPr>
          <w:rFonts w:ascii="Times New Roman" w:eastAsia="Times New Roman" w:hAnsi="Times New Roman" w:cs="Times New Roman"/>
          <w:b/>
          <w:color w:val="000000"/>
          <w:sz w:val="24"/>
          <w:szCs w:val="24"/>
        </w:rPr>
        <w:t>/2022</w:t>
      </w:r>
    </w:p>
    <w:p w:rsidR="007C526B" w:rsidRDefault="007C526B">
      <w:pPr>
        <w:spacing w:after="120" w:line="360" w:lineRule="auto"/>
        <w:jc w:val="both"/>
        <w:rPr>
          <w:rFonts w:ascii="Times New Roman" w:eastAsia="Times New Roman" w:hAnsi="Times New Roman" w:cs="Times New Roman"/>
          <w:b/>
          <w:sz w:val="24"/>
          <w:szCs w:val="24"/>
        </w:rPr>
      </w:pPr>
    </w:p>
    <w:p w:rsidR="006119A2" w:rsidRDefault="006119A2">
      <w:pPr>
        <w:spacing w:after="120" w:line="360" w:lineRule="auto"/>
        <w:jc w:val="both"/>
        <w:rPr>
          <w:rFonts w:ascii="Times New Roman" w:eastAsia="Times New Roman" w:hAnsi="Times New Roman" w:cs="Times New Roman"/>
          <w:b/>
          <w:sz w:val="24"/>
          <w:szCs w:val="24"/>
        </w:rPr>
      </w:pPr>
    </w:p>
    <w:p w:rsidR="007C526B" w:rsidRDefault="00000000">
      <w:pPr>
        <w:pBdr>
          <w:top w:val="nil"/>
          <w:left w:val="nil"/>
          <w:bottom w:val="nil"/>
          <w:right w:val="nil"/>
          <w:between w:val="nil"/>
        </w:pBdr>
        <w:spacing w:after="80" w:line="360" w:lineRule="auto"/>
        <w:ind w:left="2268"/>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EMENTA: Liberdade de locomoção de crianças e adolescentes em território nacional. Hipóteses nas quais são dispensadas a exigência de autorização para viagens de crianças e adolescentes de até 16 (dezesseis) anos. Documentos necessários para que crianças de até 12 (doze) anos possam realizar viagens nacionais. </w:t>
      </w:r>
    </w:p>
    <w:p w:rsidR="007C526B" w:rsidRDefault="007C526B">
      <w:pPr>
        <w:pBdr>
          <w:top w:val="nil"/>
          <w:left w:val="nil"/>
          <w:bottom w:val="nil"/>
          <w:right w:val="nil"/>
          <w:between w:val="nil"/>
        </w:pBdr>
        <w:spacing w:after="80" w:line="360" w:lineRule="auto"/>
        <w:ind w:left="2268"/>
        <w:jc w:val="both"/>
        <w:rPr>
          <w:rFonts w:ascii="Times New Roman" w:eastAsia="Times New Roman" w:hAnsi="Times New Roman" w:cs="Times New Roman"/>
          <w:b/>
          <w:color w:val="FF0000"/>
          <w:sz w:val="24"/>
          <w:szCs w:val="24"/>
        </w:rPr>
      </w:pPr>
    </w:p>
    <w:p w:rsidR="007C526B" w:rsidRDefault="007C526B">
      <w:pPr>
        <w:pBdr>
          <w:top w:val="nil"/>
          <w:left w:val="nil"/>
          <w:bottom w:val="nil"/>
          <w:right w:val="nil"/>
          <w:between w:val="nil"/>
        </w:pBdr>
        <w:spacing w:after="80"/>
        <w:ind w:left="2268"/>
        <w:jc w:val="both"/>
        <w:rPr>
          <w:rFonts w:ascii="Times New Roman" w:eastAsia="Times New Roman" w:hAnsi="Times New Roman" w:cs="Times New Roman"/>
          <w:b/>
          <w:color w:val="000000"/>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inciso LXXIV e art. 134, ambos da Constituição da República Federativa do Brasil, c/c art. 129, da Constituição do Estado de Minas Gerais, c/c art. 1º e art. 4°, incisos I, II, III, VII, VIII, X e XI,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w:t>
      </w:r>
      <w:r w:rsidR="006119A2">
        <w:rPr>
          <w:rFonts w:ascii="Times New Roman" w:eastAsia="Times New Roman" w:hAnsi="Times New Roman" w:cs="Times New Roman"/>
          <w:sz w:val="24"/>
          <w:szCs w:val="24"/>
        </w:rPr>
        <w:t>eventuais</w:t>
      </w:r>
      <w:r>
        <w:rPr>
          <w:rFonts w:ascii="Times New Roman" w:eastAsia="Times New Roman" w:hAnsi="Times New Roman" w:cs="Times New Roman"/>
          <w:sz w:val="24"/>
          <w:szCs w:val="24"/>
        </w:rPr>
        <w:t xml:space="preserve"> resistência</w:t>
      </w:r>
      <w:r w:rsidR="006119A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apresentad</w:t>
      </w:r>
      <w:r w:rsidR="000163C5">
        <w:rPr>
          <w:rFonts w:ascii="Times New Roman" w:eastAsia="Times New Roman" w:hAnsi="Times New Roman" w:cs="Times New Roman"/>
          <w:sz w:val="24"/>
          <w:szCs w:val="24"/>
        </w:rPr>
        <w:t>a</w:t>
      </w:r>
      <w:r>
        <w:rPr>
          <w:rFonts w:ascii="Times New Roman" w:eastAsia="Times New Roman" w:hAnsi="Times New Roman" w:cs="Times New Roman"/>
          <w:sz w:val="24"/>
          <w:szCs w:val="24"/>
        </w:rPr>
        <w:t>s pelos agentes de empresas de transporte público, no que se refere ao embarque de crianças e adolescentes menores de 16 (dezesseis) anos desacompanhados</w:t>
      </w:r>
      <w:r w:rsidR="006119A2">
        <w:rPr>
          <w:rFonts w:ascii="Times New Roman" w:eastAsia="Times New Roman" w:hAnsi="Times New Roman" w:cs="Times New Roman"/>
          <w:sz w:val="24"/>
          <w:szCs w:val="24"/>
        </w:rPr>
        <w:t xml:space="preserve"> de pais ou responsáveis</w:t>
      </w:r>
      <w:r>
        <w:rPr>
          <w:rFonts w:ascii="Times New Roman" w:eastAsia="Times New Roman" w:hAnsi="Times New Roman" w:cs="Times New Roman"/>
          <w:sz w:val="24"/>
          <w:szCs w:val="24"/>
        </w:rPr>
        <w:t>,</w:t>
      </w:r>
      <w:r w:rsidR="006119A2">
        <w:rPr>
          <w:rFonts w:ascii="Times New Roman" w:eastAsia="Times New Roman" w:hAnsi="Times New Roman" w:cs="Times New Roman"/>
          <w:sz w:val="24"/>
          <w:szCs w:val="24"/>
        </w:rPr>
        <w:t xml:space="preserve"> buscando superar tais empecilhos e garantir a liberdade de locomoção, </w:t>
      </w:r>
      <w:r>
        <w:rPr>
          <w:rFonts w:ascii="Times New Roman" w:eastAsia="Times New Roman" w:hAnsi="Times New Roman" w:cs="Times New Roman"/>
          <w:sz w:val="24"/>
          <w:szCs w:val="24"/>
        </w:rPr>
        <w:t xml:space="preserve">bem como </w:t>
      </w:r>
      <w:r w:rsidR="006119A2">
        <w:rPr>
          <w:rFonts w:ascii="Times New Roman" w:eastAsia="Times New Roman" w:hAnsi="Times New Roman" w:cs="Times New Roman"/>
          <w:sz w:val="24"/>
          <w:szCs w:val="24"/>
        </w:rPr>
        <w:t>esclarecer</w:t>
      </w:r>
      <w:r>
        <w:rPr>
          <w:rFonts w:ascii="Times New Roman" w:eastAsia="Times New Roman" w:hAnsi="Times New Roman" w:cs="Times New Roman"/>
          <w:sz w:val="24"/>
          <w:szCs w:val="24"/>
        </w:rPr>
        <w:t xml:space="preserve"> </w:t>
      </w:r>
      <w:r w:rsidR="006119A2">
        <w:rPr>
          <w:rFonts w:ascii="Times New Roman" w:eastAsia="Times New Roman" w:hAnsi="Times New Roman" w:cs="Times New Roman"/>
          <w:sz w:val="24"/>
          <w:szCs w:val="24"/>
        </w:rPr>
        <w:t xml:space="preserve">quais são </w:t>
      </w:r>
      <w:r>
        <w:rPr>
          <w:rFonts w:ascii="Times New Roman" w:eastAsia="Times New Roman" w:hAnsi="Times New Roman" w:cs="Times New Roman"/>
          <w:sz w:val="24"/>
          <w:szCs w:val="24"/>
        </w:rPr>
        <w:t xml:space="preserve">os documentos </w:t>
      </w:r>
      <w:r w:rsidR="006119A2">
        <w:rPr>
          <w:rFonts w:ascii="Times New Roman" w:eastAsia="Times New Roman" w:hAnsi="Times New Roman" w:cs="Times New Roman"/>
          <w:sz w:val="24"/>
          <w:szCs w:val="24"/>
        </w:rPr>
        <w:t>suficientes</w:t>
      </w:r>
      <w:r>
        <w:rPr>
          <w:rFonts w:ascii="Times New Roman" w:eastAsia="Times New Roman" w:hAnsi="Times New Roman" w:cs="Times New Roman"/>
          <w:sz w:val="24"/>
          <w:szCs w:val="24"/>
        </w:rPr>
        <w:t xml:space="preserve"> para o embarque de crianças de até 12 (doze) anos. </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SÍNTESE DOS FATOS:</w:t>
      </w:r>
    </w:p>
    <w:p w:rsidR="007C526B" w:rsidRDefault="007C526B">
      <w:pPr>
        <w:spacing w:after="0" w:line="360" w:lineRule="auto"/>
        <w:jc w:val="both"/>
        <w:rPr>
          <w:rFonts w:ascii="Times New Roman" w:eastAsia="Times New Roman" w:hAnsi="Times New Roman" w:cs="Times New Roman"/>
          <w:color w:val="000000"/>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Defensoria Pública do Estado de Minas Gerais tomou conhecimento, por me</w:t>
      </w:r>
      <w:r>
        <w:rPr>
          <w:rFonts w:ascii="Times New Roman" w:eastAsia="Times New Roman" w:hAnsi="Times New Roman" w:cs="Times New Roman"/>
          <w:sz w:val="24"/>
          <w:szCs w:val="24"/>
        </w:rPr>
        <w:t>io de seus membros, que algumas concessionárias de transporte público</w:t>
      </w:r>
      <w:r w:rsidR="000163C5">
        <w:rPr>
          <w:rFonts w:ascii="Times New Roman" w:eastAsia="Times New Roman" w:hAnsi="Times New Roman" w:cs="Times New Roman"/>
          <w:sz w:val="24"/>
          <w:szCs w:val="24"/>
        </w:rPr>
        <w:t xml:space="preserve"> coletivo</w:t>
      </w:r>
      <w:r>
        <w:rPr>
          <w:rFonts w:ascii="Times New Roman" w:eastAsia="Times New Roman" w:hAnsi="Times New Roman" w:cs="Times New Roman"/>
          <w:sz w:val="24"/>
          <w:szCs w:val="24"/>
        </w:rPr>
        <w:t xml:space="preserve"> intermunicipal, metropolitano e interestadual têm apresentado resistências e questionamentos quanto ao cumprimento da normativa que regulamenta a autorização de viagens para crianças e adolescentes menores de 16 (dezesseis) anos. </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ENVOLVIDOS</w:t>
      </w:r>
      <w:r>
        <w:rPr>
          <w:rFonts w:ascii="Times New Roman" w:eastAsia="Times New Roman" w:hAnsi="Times New Roman" w:cs="Times New Roman"/>
          <w:color w:val="000000"/>
          <w:sz w:val="24"/>
          <w:szCs w:val="24"/>
        </w:rPr>
        <w:t>:</w:t>
      </w:r>
    </w:p>
    <w:p w:rsidR="007C526B" w:rsidRDefault="007C526B">
      <w:pPr>
        <w:spacing w:after="0" w:line="360" w:lineRule="auto"/>
        <w:jc w:val="both"/>
        <w:rPr>
          <w:rFonts w:ascii="Times New Roman" w:eastAsia="Times New Roman" w:hAnsi="Times New Roman" w:cs="Times New Roman"/>
          <w:color w:val="000000"/>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Concessionárias de Transporte Público.</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w:t>
      </w:r>
      <w:proofErr w:type="spellStart"/>
      <w:r>
        <w:rPr>
          <w:rFonts w:ascii="Times New Roman" w:eastAsia="Times New Roman" w:hAnsi="Times New Roman" w:cs="Times New Roman"/>
          <w:sz w:val="24"/>
          <w:szCs w:val="24"/>
        </w:rPr>
        <w:t>dos</w:t>
      </w:r>
      <w:proofErr w:type="spellEnd"/>
      <w:r>
        <w:rPr>
          <w:rFonts w:ascii="Times New Roman" w:eastAsia="Times New Roman" w:hAnsi="Times New Roman" w:cs="Times New Roman"/>
          <w:sz w:val="24"/>
          <w:szCs w:val="24"/>
        </w:rPr>
        <w:t xml:space="preserve"> art. 5º, inciso LXXIV, e art. 134, da Constituição da República Federativa do Brasil de 1988 (CRFB/1988) e do art. 1º, da Lei Complementar Federal nº 80/1994;</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é dever do Estado dar efetividade aos princípios constitucionais da cidadania e da dignidade da pessoa humana, bem como cumprir com seus objetivos fundamentais de construir uma sociedade livre, justa e solidária, além de promover o bem de todos, sem preconceitos de raça, sexo ou quaisquer outras formas de discriminação (art. 1º, II e III, e art. 3º, I e IV, da </w:t>
      </w:r>
      <w:r w:rsidR="000163C5">
        <w:rPr>
          <w:rFonts w:ascii="Times New Roman" w:eastAsia="Times New Roman" w:hAnsi="Times New Roman" w:cs="Times New Roman"/>
          <w:sz w:val="24"/>
          <w:szCs w:val="24"/>
        </w:rPr>
        <w:t>CRFB/1988</w:t>
      </w:r>
      <w:r>
        <w:rPr>
          <w:rFonts w:ascii="Times New Roman" w:eastAsia="Times New Roman" w:hAnsi="Times New Roman" w:cs="Times New Roman"/>
          <w:sz w:val="24"/>
          <w:szCs w:val="24"/>
        </w:rPr>
        <w:t>);</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Constituição Federal se preocupou em prever, no rol de direitos e garantias fundamentais do art. 5°, a liberdade de locomoção no território nacional em tempos de paz, podendo qualquer pessoa, nos termos da lei, nele entrar, permanecer, ou dele sair com seus bens (art. 5°, XV da CRFB/88);</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são direitos sociais amparados pela Carta Magna, entre outros, o transporte, o lazer, a segurança e a proteção à infância (art. 6°,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da CRFB/88);</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constitui dever da família, da sociedade e do Estado assegurar à criança, adolescente e jovem, com absoluta prioridade, dentre outras garantias, o direito ao lazer, além de colocá-los a salvo de toda forma de negligência, discriminação, exploração, violência, crueldade e opressão, nos moldes do art. 227, da Constituição da República Federativa do Brasil de 1988);</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Lei 8.069 (Estatuto da Criança e do Adolescente - ECA), nos moldes de seus artigos 1º e 3º, estatui a doutrina da proteção integral, atribuindo às crianças e adolescentes a condição de sujeitos de direito, titulares de todas garantias fundamentais inerentes à pessoa humana, a fim de </w:t>
      </w:r>
      <w:r w:rsidRPr="00CF221A">
        <w:rPr>
          <w:rFonts w:ascii="Times New Roman" w:eastAsia="Times New Roman" w:hAnsi="Times New Roman" w:cs="Times New Roman"/>
          <w:sz w:val="24"/>
          <w:szCs w:val="24"/>
        </w:rPr>
        <w:t>lhes permitir o pleno desenvolvimento físico, mental, moral, espiritual e social, em condições de liberdade e de dignidade;</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é função institucional da Defensoria Pública atuar na promoção, </w:t>
      </w:r>
      <w:r w:rsidRPr="00CF221A">
        <w:rPr>
          <w:rFonts w:ascii="Times New Roman" w:eastAsia="Times New Roman" w:hAnsi="Times New Roman" w:cs="Times New Roman"/>
          <w:bCs/>
          <w:sz w:val="24"/>
          <w:szCs w:val="24"/>
        </w:rPr>
        <w:t>proteção e defesa dos direitos das crianças e adolescentes</w:t>
      </w:r>
      <w:r>
        <w:rPr>
          <w:rFonts w:ascii="Times New Roman" w:eastAsia="Times New Roman" w:hAnsi="Times New Roman" w:cs="Times New Roman"/>
          <w:sz w:val="24"/>
          <w:szCs w:val="24"/>
        </w:rPr>
        <w:t>, nos termos do art. 4°, XI da Lei Complementar Federal n° 80/94; sendo assegurado a estes sujeitos em desenvolvimento o acesso aos serviços de assistência e orientação jurídica integral e gratuita, prestados pela instituição, nos moldes do art. 70-A, inciso II, e art. 141, ambos da Lei 8.069 (Estatuto da Criança e do Adolescente);</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Estatuto da Criança e do Adolescente (ECA) prevê, em seu art. 83, </w:t>
      </w:r>
      <w:r w:rsidRPr="00CF221A">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a impossibilidade de criança ou adolescente menor de 16 (dezesseis) anos viajar para fora da comarca onde residem desacompanhado dos pais ou dos responsáveis sem expressa autorização judicial, dispondo, contudo, em seu </w:t>
      </w:r>
      <w:r w:rsidR="00CF22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w:t>
      </w:r>
      <w:r w:rsidR="00CF22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situações nas quais a autorização judicial para viajar não será exigida, sendo elas: a) quando </w:t>
      </w:r>
      <w:r w:rsidR="00CF221A">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tratar de comarca contígua à da residência da criança ou do adolescente menor de 16 (dezesseis) anos, se na mesma unidade da Federação, ou incluída na mesma região metropolitana; b) </w:t>
      </w:r>
      <w:r>
        <w:rPr>
          <w:rFonts w:ascii="Times New Roman" w:eastAsia="Times New Roman" w:hAnsi="Times New Roman" w:cs="Times New Roman"/>
          <w:sz w:val="24"/>
          <w:szCs w:val="24"/>
        </w:rPr>
        <w:lastRenderedPageBreak/>
        <w:t xml:space="preserve">a criança ou o adolescente menor de 16 (dezesseis) anos estiver acompanhado: </w:t>
      </w:r>
      <w:r w:rsidR="00CF221A">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1) de ascendente ou colateral maior, até o terceiro grau, comprovado documentalmente o parentesco; </w:t>
      </w:r>
      <w:r w:rsidR="00CF221A">
        <w:rPr>
          <w:rFonts w:ascii="Times New Roman" w:eastAsia="Times New Roman" w:hAnsi="Times New Roman" w:cs="Times New Roman"/>
          <w:sz w:val="24"/>
          <w:szCs w:val="24"/>
        </w:rPr>
        <w:t>b.</w:t>
      </w:r>
      <w:r>
        <w:rPr>
          <w:rFonts w:ascii="Times New Roman" w:eastAsia="Times New Roman" w:hAnsi="Times New Roman" w:cs="Times New Roman"/>
          <w:sz w:val="24"/>
          <w:szCs w:val="24"/>
        </w:rPr>
        <w:t>2) de pessoa maior, expressamente autorizada pelo pai, mãe ou responsável.</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Resolução n° 295</w:t>
      </w:r>
      <w:r w:rsidR="00CF221A">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do Conselho Nacional de Justiça</w:t>
      </w:r>
      <w:r w:rsidR="00CF22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regulamentou as previsões </w:t>
      </w:r>
      <w:r w:rsidR="00CF221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art. 83</w:t>
      </w:r>
      <w:r w:rsidR="00CF221A">
        <w:rPr>
          <w:rFonts w:ascii="Times New Roman" w:eastAsia="Times New Roman" w:hAnsi="Times New Roman" w:cs="Times New Roman"/>
          <w:sz w:val="24"/>
          <w:szCs w:val="24"/>
        </w:rPr>
        <w:t>, § 1º,</w:t>
      </w:r>
      <w:r>
        <w:rPr>
          <w:rFonts w:ascii="Times New Roman" w:eastAsia="Times New Roman" w:hAnsi="Times New Roman" w:cs="Times New Roman"/>
          <w:sz w:val="24"/>
          <w:szCs w:val="24"/>
        </w:rPr>
        <w:t xml:space="preserve"> do ECA, especificando </w:t>
      </w:r>
      <w:r w:rsidR="00CF221A">
        <w:rPr>
          <w:rFonts w:ascii="Times New Roman" w:eastAsia="Times New Roman" w:hAnsi="Times New Roman" w:cs="Times New Roman"/>
          <w:sz w:val="24"/>
          <w:szCs w:val="24"/>
        </w:rPr>
        <w:t>que a</w:t>
      </w:r>
      <w:r>
        <w:rPr>
          <w:rFonts w:ascii="Times New Roman" w:eastAsia="Times New Roman" w:hAnsi="Times New Roman" w:cs="Times New Roman"/>
          <w:sz w:val="24"/>
          <w:szCs w:val="24"/>
        </w:rPr>
        <w:t xml:space="preserve"> autorização </w:t>
      </w:r>
      <w:r w:rsidR="00CF221A">
        <w:rPr>
          <w:rFonts w:ascii="Times New Roman" w:eastAsia="Times New Roman" w:hAnsi="Times New Roman" w:cs="Times New Roman"/>
          <w:sz w:val="24"/>
          <w:szCs w:val="24"/>
        </w:rPr>
        <w:t xml:space="preserve">de pais ou responsáveis para que terceira pessoa maior de idade viaje com a criança ou o adolescente pode se dar </w:t>
      </w:r>
      <w:r>
        <w:rPr>
          <w:rFonts w:ascii="Times New Roman" w:eastAsia="Times New Roman" w:hAnsi="Times New Roman" w:cs="Times New Roman"/>
          <w:sz w:val="24"/>
          <w:szCs w:val="24"/>
        </w:rPr>
        <w:t>por meio de escritura pública ou de documento particular com firma reconhecida por semelhança ou autenticidade (art. 2°, II, b, da Res. 295 do CNJ);</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referida </w:t>
      </w:r>
      <w:r w:rsidR="00FF7CA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esolução previu, ainda, que crianças e adolescentes menores de 16 (dezesseis) anos podem viajar desacompanhados, dentro do território nacional, sem a necessidade de autorização judicial, desde que expressamente autorizados por qualquer de seus genitores ou responsável legal, por meio de escritura pública ou de documento particular com firma reconhecida por semelhança ou autenticidade (art. 2°, </w:t>
      </w:r>
      <w:r w:rsidR="00FF7CA5">
        <w:rPr>
          <w:rFonts w:ascii="Times New Roman" w:eastAsia="Times New Roman" w:hAnsi="Times New Roman" w:cs="Times New Roman"/>
          <w:sz w:val="24"/>
          <w:szCs w:val="24"/>
        </w:rPr>
        <w:t xml:space="preserve">inciso </w:t>
      </w:r>
      <w:r>
        <w:rPr>
          <w:rFonts w:ascii="Times New Roman" w:eastAsia="Times New Roman" w:hAnsi="Times New Roman" w:cs="Times New Roman"/>
          <w:sz w:val="24"/>
          <w:szCs w:val="24"/>
        </w:rPr>
        <w:t>III, Resolução n° 295</w:t>
      </w:r>
      <w:r w:rsidR="00FF7CA5">
        <w:rPr>
          <w:rFonts w:ascii="Times New Roman" w:eastAsia="Times New Roman" w:hAnsi="Times New Roman" w:cs="Times New Roman"/>
          <w:sz w:val="24"/>
          <w:szCs w:val="24"/>
        </w:rPr>
        <w:t>/2019, do</w:t>
      </w:r>
      <w:r>
        <w:rPr>
          <w:rFonts w:ascii="Times New Roman" w:eastAsia="Times New Roman" w:hAnsi="Times New Roman" w:cs="Times New Roman"/>
          <w:sz w:val="24"/>
          <w:szCs w:val="24"/>
        </w:rPr>
        <w:t xml:space="preserve"> CNJ); </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Provimento n. 103</w:t>
      </w:r>
      <w:r w:rsidR="00FF7CA5">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sidR="00FF7C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CNJ</w:t>
      </w:r>
      <w:r w:rsidR="00FF7C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instituiu a Autorização Eletrônica de Viagem - AEV, nacional e internacional, de crianças e adolescentes até 16 (dezesseis) anos desacompanhados de ambos ou de um de seus pais, obedecendo todas as formalidades previstas na Resolução n° 295</w:t>
      </w:r>
      <w:r w:rsidR="00FF7CA5">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do CNJ, prevendo que os pais ou responsáveis, nas hipóteses em que não seja necessária a autorização judicial, poderão autorizar a viagem da criança e do adolescente por instrumento particular eletrônico, com firma reconhecida por autenticidade por um tabelião de notas, nos termos do art. 2º da Resolução CNJ n. 295</w:t>
      </w:r>
      <w:r w:rsidR="00FF7CA5">
        <w:rPr>
          <w:rFonts w:ascii="Times New Roman" w:eastAsia="Times New Roman" w:hAnsi="Times New Roman" w:cs="Times New Roman"/>
          <w:sz w:val="24"/>
          <w:szCs w:val="24"/>
        </w:rPr>
        <w:t>/2019</w:t>
      </w:r>
      <w:r>
        <w:rPr>
          <w:rFonts w:ascii="Times New Roman" w:eastAsia="Times New Roman" w:hAnsi="Times New Roman" w:cs="Times New Roman"/>
          <w:sz w:val="24"/>
          <w:szCs w:val="24"/>
        </w:rPr>
        <w:t>, entre outros;</w:t>
      </w:r>
    </w:p>
    <w:p w:rsidR="007C526B" w:rsidRDefault="007C526B">
      <w:pPr>
        <w:spacing w:after="0" w:line="360" w:lineRule="auto"/>
        <w:jc w:val="both"/>
        <w:rPr>
          <w:rFonts w:ascii="Times New Roman" w:eastAsia="Times New Roman" w:hAnsi="Times New Roman" w:cs="Times New Roman"/>
          <w:b/>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FF7CA5">
        <w:rPr>
          <w:rFonts w:ascii="Times New Roman" w:eastAsia="Times New Roman" w:hAnsi="Times New Roman" w:cs="Times New Roman"/>
          <w:sz w:val="24"/>
          <w:szCs w:val="24"/>
        </w:rPr>
        <w:t>que o art. 3º, I, da</w:t>
      </w:r>
      <w:r>
        <w:rPr>
          <w:rFonts w:ascii="Times New Roman" w:eastAsia="Times New Roman" w:hAnsi="Times New Roman" w:cs="Times New Roman"/>
          <w:sz w:val="24"/>
          <w:szCs w:val="24"/>
        </w:rPr>
        <w:t xml:space="preserve"> Resolução 4.308/2014</w:t>
      </w:r>
      <w:r w:rsidR="00FF7C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Agência Nacional de Transportes Terrestres - ANTT, prevê que a identificação de passageiros de nacionalidade brasileira, maior ou adolescente, será atestada, entre outros, pela Carteira de Identidade (RG) emitida por órgãos de Identificação dos Estados ou do Distrito Federal;</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w:t>
      </w:r>
      <w:r w:rsidR="00FF7CA5">
        <w:rPr>
          <w:rFonts w:ascii="Times New Roman" w:eastAsia="Times New Roman" w:hAnsi="Times New Roman" w:cs="Times New Roman"/>
          <w:sz w:val="24"/>
          <w:szCs w:val="24"/>
        </w:rPr>
        <w:t>por outro lado, nos termos da</w:t>
      </w:r>
      <w:r>
        <w:rPr>
          <w:rFonts w:ascii="Times New Roman" w:eastAsia="Times New Roman" w:hAnsi="Times New Roman" w:cs="Times New Roman"/>
          <w:sz w:val="24"/>
          <w:szCs w:val="24"/>
        </w:rPr>
        <w:t xml:space="preserve"> referida Resolução da ANTT, </w:t>
      </w:r>
      <w:r w:rsidR="00FF7CA5">
        <w:rPr>
          <w:rFonts w:ascii="Times New Roman" w:eastAsia="Times New Roman" w:hAnsi="Times New Roman" w:cs="Times New Roman"/>
          <w:sz w:val="24"/>
          <w:szCs w:val="24"/>
        </w:rPr>
        <w:t>o embarque</w:t>
      </w:r>
      <w:r>
        <w:rPr>
          <w:rFonts w:ascii="Times New Roman" w:eastAsia="Times New Roman" w:hAnsi="Times New Roman" w:cs="Times New Roman"/>
          <w:sz w:val="24"/>
          <w:szCs w:val="24"/>
        </w:rPr>
        <w:t xml:space="preserve"> de crianças (pessoas de até doze anos de idade incompletos)</w:t>
      </w:r>
      <w:r w:rsidR="00FF7CA5">
        <w:rPr>
          <w:rFonts w:ascii="Times New Roman" w:eastAsia="Times New Roman" w:hAnsi="Times New Roman" w:cs="Times New Roman"/>
          <w:sz w:val="24"/>
          <w:szCs w:val="24"/>
        </w:rPr>
        <w:t xml:space="preserve"> em viagens nacionais depende</w:t>
      </w:r>
      <w:r>
        <w:rPr>
          <w:rFonts w:ascii="Times New Roman" w:eastAsia="Times New Roman" w:hAnsi="Times New Roman" w:cs="Times New Roman"/>
          <w:sz w:val="24"/>
          <w:szCs w:val="24"/>
        </w:rPr>
        <w:t xml:space="preserve"> </w:t>
      </w:r>
      <w:r w:rsidR="00FF7CA5">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identificação </w:t>
      </w:r>
      <w:r w:rsidR="00FF7CA5">
        <w:rPr>
          <w:rFonts w:ascii="Times New Roman" w:eastAsia="Times New Roman" w:hAnsi="Times New Roman" w:cs="Times New Roman"/>
          <w:sz w:val="24"/>
          <w:szCs w:val="24"/>
        </w:rPr>
        <w:t xml:space="preserve">por meio </w:t>
      </w:r>
      <w:r>
        <w:rPr>
          <w:rFonts w:ascii="Times New Roman" w:eastAsia="Times New Roman" w:hAnsi="Times New Roman" w:cs="Times New Roman"/>
          <w:sz w:val="24"/>
          <w:szCs w:val="24"/>
        </w:rPr>
        <w:t>d</w:t>
      </w:r>
      <w:r w:rsidR="00FF7CA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carteira de identidade, passaporte</w:t>
      </w:r>
      <w:r w:rsidR="00FF7CA5">
        <w:rPr>
          <w:rFonts w:ascii="Times New Roman" w:eastAsia="Times New Roman" w:hAnsi="Times New Roman" w:cs="Times New Roman"/>
          <w:sz w:val="24"/>
          <w:szCs w:val="24"/>
        </w:rPr>
        <w:t>, mas admite-se também a mera apresentação de</w:t>
      </w:r>
      <w:r>
        <w:rPr>
          <w:rFonts w:ascii="Times New Roman" w:eastAsia="Times New Roman" w:hAnsi="Times New Roman" w:cs="Times New Roman"/>
          <w:sz w:val="24"/>
          <w:szCs w:val="24"/>
        </w:rPr>
        <w:t xml:space="preserve"> certidão de nascimento, sendo esta original ou cópia autenticada em cartório (art. 4°, </w:t>
      </w:r>
      <w:r w:rsidR="00FF7CA5">
        <w:rPr>
          <w:rFonts w:ascii="Times New Roman" w:eastAsia="Times New Roman" w:hAnsi="Times New Roman" w:cs="Times New Roman"/>
          <w:sz w:val="24"/>
          <w:szCs w:val="24"/>
        </w:rPr>
        <w:t xml:space="preserve">inciso </w:t>
      </w:r>
      <w:r>
        <w:rPr>
          <w:rFonts w:ascii="Times New Roman" w:eastAsia="Times New Roman" w:hAnsi="Times New Roman" w:cs="Times New Roman"/>
          <w:sz w:val="24"/>
          <w:szCs w:val="24"/>
        </w:rPr>
        <w:t>I,</w:t>
      </w:r>
      <w:r w:rsidR="00FF7CA5">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 xml:space="preserve"> Resolução 4.308/2014</w:t>
      </w:r>
      <w:r w:rsidR="00FF7C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ANTT);</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w:t>
      </w:r>
      <w:r>
        <w:rPr>
          <w:rFonts w:ascii="Times New Roman" w:eastAsia="Times New Roman" w:hAnsi="Times New Roman" w:cs="Times New Roman"/>
          <w:sz w:val="24"/>
          <w:szCs w:val="24"/>
        </w:rPr>
        <w:t>quaisquer circunstâncias, o exercício pleno de seus direitos e garantias fundamentais, conforme o disposto no art. 4º, II, III, VII, VIII, X, da Lei Complementar Federal nº 80/94;</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o presente Procedimento Administrativo de Tutela Coletiva (PTAC) para apurar </w:t>
      </w:r>
      <w:r w:rsidR="00FF7CA5">
        <w:rPr>
          <w:rFonts w:ascii="Times New Roman" w:eastAsia="Times New Roman" w:hAnsi="Times New Roman" w:cs="Times New Roman"/>
          <w:sz w:val="24"/>
          <w:szCs w:val="24"/>
        </w:rPr>
        <w:t xml:space="preserve">eventuais resistências apresentadas pelos </w:t>
      </w:r>
      <w:r w:rsidR="00FF7CA5">
        <w:rPr>
          <w:rFonts w:ascii="Times New Roman" w:eastAsia="Times New Roman" w:hAnsi="Times New Roman" w:cs="Times New Roman"/>
          <w:sz w:val="24"/>
          <w:szCs w:val="24"/>
        </w:rPr>
        <w:t>funcionários</w:t>
      </w:r>
      <w:r w:rsidR="00FF7CA5">
        <w:rPr>
          <w:rFonts w:ascii="Times New Roman" w:eastAsia="Times New Roman" w:hAnsi="Times New Roman" w:cs="Times New Roman"/>
          <w:sz w:val="24"/>
          <w:szCs w:val="24"/>
        </w:rPr>
        <w:t xml:space="preserve"> de empresas de transporte público, no que se refere ao embarque de crianças e adolescentes menores de 16 (dezesseis) anos desacompanhados de pais ou responsáveis, buscando superar tais empecilhos e garantir a liberdade de locomoção, bem como esclarecer quais são os documentos suficientes para o embarque de crianças de até 12 (doze) anos</w:t>
      </w:r>
    </w:p>
    <w:p w:rsidR="007C526B" w:rsidRDefault="007C526B">
      <w:pPr>
        <w:spacing w:after="0" w:line="360" w:lineRule="auto"/>
        <w:jc w:val="both"/>
        <w:rPr>
          <w:rFonts w:ascii="Times New Roman" w:eastAsia="Times New Roman" w:hAnsi="Times New Roman" w:cs="Times New Roman"/>
          <w:sz w:val="24"/>
          <w:szCs w:val="24"/>
        </w:rPr>
      </w:pPr>
    </w:p>
    <w:p w:rsidR="007C526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tanto, determina-se a adoção das seguintes diligências:</w:t>
      </w:r>
    </w:p>
    <w:p w:rsidR="007C526B" w:rsidRDefault="007C526B">
      <w:pPr>
        <w:spacing w:after="0" w:line="360" w:lineRule="auto"/>
        <w:jc w:val="both"/>
        <w:rPr>
          <w:rFonts w:ascii="Times New Roman" w:eastAsia="Times New Roman" w:hAnsi="Times New Roman" w:cs="Times New Roman"/>
          <w:color w:val="000000"/>
          <w:sz w:val="24"/>
          <w:szCs w:val="24"/>
        </w:rPr>
      </w:pPr>
    </w:p>
    <w:p w:rsidR="007C526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juntada de ofícios, documentos e demais conteúdos relacionados ao caso;</w:t>
      </w:r>
    </w:p>
    <w:p w:rsidR="007C526B" w:rsidRDefault="007C526B">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7C526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elaboração de instrumentos extrajudiciais (ofícios, recomendações, informes técnico-jurídicos e outros) para atuação junto </w:t>
      </w:r>
      <w:r>
        <w:rPr>
          <w:rFonts w:ascii="Times New Roman" w:eastAsia="Times New Roman" w:hAnsi="Times New Roman" w:cs="Times New Roman"/>
          <w:sz w:val="24"/>
          <w:szCs w:val="24"/>
        </w:rPr>
        <w:t xml:space="preserve">às concessionárias de transporte público, </w:t>
      </w:r>
      <w:r>
        <w:rPr>
          <w:rFonts w:ascii="Times New Roman" w:eastAsia="Times New Roman" w:hAnsi="Times New Roman" w:cs="Times New Roman"/>
          <w:color w:val="000000"/>
          <w:sz w:val="24"/>
          <w:szCs w:val="24"/>
        </w:rPr>
        <w:t>bem como para subsidiar o trabalho de Defensoras e Defensores Públicos da Criança e Adolescente quanto à matéria.</w:t>
      </w:r>
    </w:p>
    <w:p w:rsidR="007C526B" w:rsidRDefault="007C526B">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7C526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Autue-se. Cumpra-se.</w:t>
      </w:r>
    </w:p>
    <w:p w:rsidR="007C526B" w:rsidRDefault="007C526B">
      <w:pPr>
        <w:spacing w:after="0" w:line="360" w:lineRule="auto"/>
        <w:jc w:val="both"/>
        <w:rPr>
          <w:rFonts w:ascii="Times New Roman" w:eastAsia="Times New Roman" w:hAnsi="Times New Roman" w:cs="Times New Roman"/>
          <w:color w:val="000000"/>
          <w:sz w:val="24"/>
          <w:szCs w:val="24"/>
        </w:rPr>
      </w:pPr>
    </w:p>
    <w:p w:rsidR="007C526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venham os autos conclusos para análise.</w:t>
      </w:r>
    </w:p>
    <w:p w:rsidR="007C526B" w:rsidRDefault="007C526B">
      <w:pPr>
        <w:spacing w:after="0" w:line="360" w:lineRule="auto"/>
        <w:jc w:val="both"/>
        <w:rPr>
          <w:rFonts w:ascii="Times New Roman" w:eastAsia="Times New Roman" w:hAnsi="Times New Roman" w:cs="Times New Roman"/>
          <w:color w:val="000000"/>
          <w:sz w:val="24"/>
          <w:szCs w:val="24"/>
        </w:rPr>
      </w:pPr>
    </w:p>
    <w:p w:rsidR="007C526B"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 Horizonte/MG, </w:t>
      </w:r>
      <w:r>
        <w:rPr>
          <w:rFonts w:ascii="Times New Roman" w:eastAsia="Times New Roman" w:hAnsi="Times New Roman" w:cs="Times New Roman"/>
          <w:sz w:val="24"/>
          <w:szCs w:val="24"/>
        </w:rPr>
        <w:t>1</w:t>
      </w:r>
      <w:r w:rsidR="00FF7CA5">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sz w:val="24"/>
          <w:szCs w:val="24"/>
        </w:rPr>
        <w:t>dezembr</w:t>
      </w:r>
      <w:r>
        <w:rPr>
          <w:rFonts w:ascii="Times New Roman" w:eastAsia="Times New Roman" w:hAnsi="Times New Roman" w:cs="Times New Roman"/>
          <w:color w:val="000000"/>
          <w:sz w:val="24"/>
          <w:szCs w:val="24"/>
        </w:rPr>
        <w:t>o de 2022.</w:t>
      </w:r>
    </w:p>
    <w:p w:rsidR="007C526B" w:rsidRDefault="007C526B">
      <w:pPr>
        <w:spacing w:after="0" w:line="360" w:lineRule="auto"/>
        <w:jc w:val="both"/>
        <w:rPr>
          <w:rFonts w:ascii="Times New Roman" w:eastAsia="Times New Roman" w:hAnsi="Times New Roman" w:cs="Times New Roman"/>
          <w:color w:val="000000"/>
          <w:sz w:val="24"/>
          <w:szCs w:val="24"/>
        </w:rPr>
      </w:pPr>
    </w:p>
    <w:p w:rsidR="00FF7CA5" w:rsidRDefault="00FF7CA5">
      <w:pPr>
        <w:spacing w:after="0" w:line="360" w:lineRule="auto"/>
        <w:jc w:val="both"/>
        <w:rPr>
          <w:rFonts w:ascii="Times New Roman" w:eastAsia="Times New Roman" w:hAnsi="Times New Roman" w:cs="Times New Roman"/>
          <w:color w:val="000000"/>
          <w:sz w:val="24"/>
          <w:szCs w:val="24"/>
        </w:rPr>
      </w:pPr>
    </w:p>
    <w:p w:rsidR="007C526B" w:rsidRDefault="007C526B">
      <w:pPr>
        <w:spacing w:after="0" w:line="360" w:lineRule="auto"/>
        <w:jc w:val="both"/>
        <w:rPr>
          <w:rFonts w:ascii="Times New Roman" w:eastAsia="Times New Roman" w:hAnsi="Times New Roman" w:cs="Times New Roman"/>
          <w:color w:val="000000"/>
          <w:sz w:val="24"/>
          <w:szCs w:val="24"/>
        </w:rPr>
      </w:pPr>
    </w:p>
    <w:p w:rsidR="00FF7CA5" w:rsidRPr="00FF7CA5" w:rsidRDefault="00FF7CA5" w:rsidP="00FF7CA5">
      <w:pPr>
        <w:spacing w:after="0" w:line="240" w:lineRule="auto"/>
        <w:jc w:val="center"/>
        <w:rPr>
          <w:rFonts w:ascii="Times New Roman" w:hAnsi="Times New Roman" w:cs="Times New Roman"/>
          <w:b/>
          <w:smallCaps/>
          <w:color w:val="000000"/>
        </w:rPr>
      </w:pPr>
      <w:r w:rsidRPr="00FF7CA5">
        <w:rPr>
          <w:rFonts w:ascii="Times New Roman" w:hAnsi="Times New Roman" w:cs="Times New Roman"/>
          <w:b/>
          <w:smallCaps/>
          <w:color w:val="000000"/>
        </w:rPr>
        <w:t>Paulo Cesar Azevedo de Almeida</w:t>
      </w:r>
    </w:p>
    <w:p w:rsidR="00FF7CA5" w:rsidRPr="00FF7CA5" w:rsidRDefault="00FF7CA5" w:rsidP="00FF7CA5">
      <w:pPr>
        <w:spacing w:after="0" w:line="240" w:lineRule="auto"/>
        <w:jc w:val="center"/>
        <w:rPr>
          <w:rFonts w:ascii="Times New Roman" w:hAnsi="Times New Roman" w:cs="Times New Roman"/>
          <w:b/>
          <w:smallCaps/>
          <w:color w:val="000000"/>
        </w:rPr>
      </w:pPr>
      <w:r w:rsidRPr="00FF7CA5">
        <w:rPr>
          <w:rFonts w:ascii="Times New Roman" w:hAnsi="Times New Roman" w:cs="Times New Roman"/>
          <w:b/>
          <w:smallCaps/>
          <w:color w:val="000000"/>
        </w:rPr>
        <w:t>Coordenadoria Estratégica em Tutela Coletiva</w:t>
      </w:r>
    </w:p>
    <w:p w:rsidR="00FF7CA5" w:rsidRDefault="00FF7CA5" w:rsidP="00FF7CA5">
      <w:pPr>
        <w:spacing w:after="0" w:line="240" w:lineRule="auto"/>
        <w:jc w:val="center"/>
        <w:rPr>
          <w:rFonts w:ascii="Times New Roman" w:hAnsi="Times New Roman" w:cs="Times New Roman"/>
          <w:b/>
          <w:smallCaps/>
          <w:color w:val="000000"/>
        </w:rPr>
      </w:pPr>
      <w:r w:rsidRPr="00FF7CA5">
        <w:rPr>
          <w:rFonts w:ascii="Times New Roman" w:hAnsi="Times New Roman" w:cs="Times New Roman"/>
          <w:b/>
          <w:smallCaps/>
          <w:color w:val="000000"/>
        </w:rPr>
        <w:t>Defensor Público</w:t>
      </w:r>
    </w:p>
    <w:p w:rsidR="00FF7CA5" w:rsidRPr="00FF7CA5" w:rsidRDefault="00FF7CA5" w:rsidP="00FF7CA5">
      <w:pPr>
        <w:spacing w:after="0" w:line="240" w:lineRule="auto"/>
        <w:jc w:val="center"/>
        <w:rPr>
          <w:rFonts w:ascii="Times New Roman" w:hAnsi="Times New Roman" w:cs="Times New Roman"/>
          <w:b/>
          <w:smallCaps/>
          <w:color w:val="000000"/>
        </w:rPr>
      </w:pPr>
      <w:proofErr w:type="spellStart"/>
      <w:r w:rsidRPr="00FF7CA5">
        <w:rPr>
          <w:rFonts w:ascii="Times New Roman" w:hAnsi="Times New Roman" w:cs="Times New Roman"/>
          <w:b/>
          <w:smallCaps/>
          <w:color w:val="000000"/>
        </w:rPr>
        <w:t>Madep</w:t>
      </w:r>
      <w:proofErr w:type="spellEnd"/>
      <w:r w:rsidRPr="00FF7CA5">
        <w:rPr>
          <w:rFonts w:ascii="Times New Roman" w:hAnsi="Times New Roman" w:cs="Times New Roman"/>
          <w:b/>
          <w:smallCaps/>
          <w:color w:val="000000"/>
        </w:rPr>
        <w:t xml:space="preserve"> 883</w:t>
      </w:r>
    </w:p>
    <w:p w:rsidR="00FF7CA5" w:rsidRDefault="00FF7CA5">
      <w:pPr>
        <w:spacing w:after="0" w:line="360" w:lineRule="auto"/>
        <w:jc w:val="both"/>
        <w:rPr>
          <w:rFonts w:ascii="Times New Roman" w:eastAsia="Times New Roman" w:hAnsi="Times New Roman" w:cs="Times New Roman"/>
          <w:color w:val="000000"/>
          <w:sz w:val="24"/>
          <w:szCs w:val="24"/>
        </w:rPr>
      </w:pPr>
    </w:p>
    <w:p w:rsidR="00FF7CA5" w:rsidRDefault="00FF7CA5">
      <w:pPr>
        <w:spacing w:after="0" w:line="360" w:lineRule="auto"/>
        <w:jc w:val="both"/>
        <w:rPr>
          <w:rFonts w:ascii="Times New Roman" w:eastAsia="Times New Roman" w:hAnsi="Times New Roman" w:cs="Times New Roman"/>
          <w:color w:val="000000"/>
          <w:sz w:val="24"/>
          <w:szCs w:val="24"/>
        </w:rPr>
      </w:pPr>
    </w:p>
    <w:p w:rsidR="00FF7CA5" w:rsidRDefault="00FF7CA5">
      <w:pPr>
        <w:spacing w:after="0" w:line="360" w:lineRule="auto"/>
        <w:jc w:val="both"/>
        <w:rPr>
          <w:rFonts w:ascii="Times New Roman" w:eastAsia="Times New Roman" w:hAnsi="Times New Roman" w:cs="Times New Roman"/>
          <w:color w:val="000000"/>
          <w:sz w:val="24"/>
          <w:szCs w:val="24"/>
        </w:rPr>
      </w:pPr>
    </w:p>
    <w:p w:rsidR="007C526B" w:rsidRPr="00FF7CA5" w:rsidRDefault="00000000">
      <w:pPr>
        <w:spacing w:after="0" w:line="240" w:lineRule="auto"/>
        <w:jc w:val="center"/>
        <w:rPr>
          <w:rFonts w:ascii="Times New Roman" w:hAnsi="Times New Roman" w:cs="Times New Roman"/>
          <w:b/>
          <w:smallCaps/>
          <w:color w:val="000000"/>
        </w:rPr>
      </w:pPr>
      <w:r w:rsidRPr="00FF7CA5">
        <w:rPr>
          <w:rFonts w:ascii="Times New Roman" w:hAnsi="Times New Roman" w:cs="Times New Roman"/>
          <w:b/>
          <w:smallCaps/>
          <w:color w:val="000000"/>
        </w:rPr>
        <w:t xml:space="preserve">Daniele </w:t>
      </w:r>
      <w:proofErr w:type="spellStart"/>
      <w:r w:rsidRPr="00FF7CA5">
        <w:rPr>
          <w:rFonts w:ascii="Times New Roman" w:hAnsi="Times New Roman" w:cs="Times New Roman"/>
          <w:b/>
          <w:smallCaps/>
          <w:color w:val="000000"/>
        </w:rPr>
        <w:t>Bellettato</w:t>
      </w:r>
      <w:proofErr w:type="spellEnd"/>
      <w:r w:rsidRPr="00FF7CA5">
        <w:rPr>
          <w:rFonts w:ascii="Times New Roman" w:hAnsi="Times New Roman" w:cs="Times New Roman"/>
          <w:b/>
          <w:smallCaps/>
          <w:color w:val="000000"/>
        </w:rPr>
        <w:t xml:space="preserve"> </w:t>
      </w:r>
      <w:proofErr w:type="spellStart"/>
      <w:r w:rsidRPr="00FF7CA5">
        <w:rPr>
          <w:rFonts w:ascii="Times New Roman" w:hAnsi="Times New Roman" w:cs="Times New Roman"/>
          <w:b/>
          <w:smallCaps/>
          <w:color w:val="000000"/>
        </w:rPr>
        <w:t>Nesrala</w:t>
      </w:r>
      <w:proofErr w:type="spellEnd"/>
    </w:p>
    <w:p w:rsidR="00FF7CA5" w:rsidRDefault="00000000">
      <w:pPr>
        <w:spacing w:after="0" w:line="240" w:lineRule="auto"/>
        <w:jc w:val="center"/>
        <w:rPr>
          <w:rFonts w:ascii="Times New Roman" w:hAnsi="Times New Roman" w:cs="Times New Roman"/>
          <w:b/>
          <w:smallCaps/>
          <w:color w:val="000000"/>
        </w:rPr>
      </w:pPr>
      <w:r w:rsidRPr="00FF7CA5">
        <w:rPr>
          <w:rFonts w:ascii="Times New Roman" w:hAnsi="Times New Roman" w:cs="Times New Roman"/>
          <w:b/>
          <w:smallCaps/>
          <w:color w:val="000000"/>
        </w:rPr>
        <w:t xml:space="preserve">Coordenadoria </w:t>
      </w:r>
      <w:proofErr w:type="spellStart"/>
      <w:r w:rsidRPr="00FF7CA5">
        <w:rPr>
          <w:rFonts w:ascii="Times New Roman" w:hAnsi="Times New Roman" w:cs="Times New Roman"/>
          <w:b/>
          <w:smallCaps/>
          <w:color w:val="000000"/>
        </w:rPr>
        <w:t>Estra</w:t>
      </w:r>
      <w:r w:rsidR="00FF7CA5">
        <w:rPr>
          <w:rFonts w:ascii="Times New Roman" w:hAnsi="Times New Roman" w:cs="Times New Roman"/>
          <w:b/>
          <w:smallCaps/>
          <w:color w:val="000000"/>
        </w:rPr>
        <w:t>dual</w:t>
      </w:r>
      <w:proofErr w:type="spellEnd"/>
      <w:r w:rsidRPr="00FF7CA5">
        <w:rPr>
          <w:rFonts w:ascii="Times New Roman" w:hAnsi="Times New Roman" w:cs="Times New Roman"/>
          <w:b/>
          <w:smallCaps/>
          <w:color w:val="000000"/>
        </w:rPr>
        <w:t xml:space="preserve"> de Defesa e Promoção dos Direitos </w:t>
      </w:r>
    </w:p>
    <w:p w:rsidR="007C526B" w:rsidRPr="00FF7CA5" w:rsidRDefault="00000000">
      <w:pPr>
        <w:spacing w:after="0" w:line="240" w:lineRule="auto"/>
        <w:jc w:val="center"/>
        <w:rPr>
          <w:rFonts w:ascii="Times New Roman" w:hAnsi="Times New Roman" w:cs="Times New Roman"/>
          <w:b/>
          <w:smallCaps/>
          <w:color w:val="000000"/>
        </w:rPr>
      </w:pPr>
      <w:r w:rsidRPr="00FF7CA5">
        <w:rPr>
          <w:rFonts w:ascii="Times New Roman" w:hAnsi="Times New Roman" w:cs="Times New Roman"/>
          <w:b/>
          <w:smallCaps/>
          <w:color w:val="000000"/>
        </w:rPr>
        <w:t>das Crianças e Adolescentes</w:t>
      </w:r>
    </w:p>
    <w:p w:rsidR="00FF7CA5" w:rsidRDefault="00000000">
      <w:pPr>
        <w:spacing w:after="0" w:line="240" w:lineRule="auto"/>
        <w:jc w:val="center"/>
        <w:rPr>
          <w:rFonts w:ascii="Times New Roman" w:hAnsi="Times New Roman" w:cs="Times New Roman"/>
          <w:b/>
          <w:smallCaps/>
          <w:color w:val="000000"/>
        </w:rPr>
      </w:pPr>
      <w:r w:rsidRPr="00FF7CA5">
        <w:rPr>
          <w:rFonts w:ascii="Times New Roman" w:hAnsi="Times New Roman" w:cs="Times New Roman"/>
          <w:b/>
          <w:smallCaps/>
          <w:color w:val="000000"/>
        </w:rPr>
        <w:t>Defensora Pública</w:t>
      </w:r>
    </w:p>
    <w:p w:rsidR="007C526B" w:rsidRPr="00FF7CA5" w:rsidRDefault="00000000" w:rsidP="00FF7CA5">
      <w:pPr>
        <w:spacing w:after="0" w:line="240" w:lineRule="auto"/>
        <w:jc w:val="center"/>
        <w:rPr>
          <w:rFonts w:ascii="Times New Roman" w:hAnsi="Times New Roman" w:cs="Times New Roman"/>
          <w:b/>
          <w:smallCaps/>
          <w:color w:val="000000"/>
        </w:rPr>
      </w:pPr>
      <w:proofErr w:type="spellStart"/>
      <w:r w:rsidRPr="00FF7CA5">
        <w:rPr>
          <w:rFonts w:ascii="Times New Roman" w:hAnsi="Times New Roman" w:cs="Times New Roman"/>
          <w:b/>
          <w:smallCaps/>
          <w:color w:val="000000"/>
        </w:rPr>
        <w:t>Madep</w:t>
      </w:r>
      <w:proofErr w:type="spellEnd"/>
      <w:r w:rsidRPr="00FF7CA5">
        <w:rPr>
          <w:rFonts w:ascii="Times New Roman" w:hAnsi="Times New Roman" w:cs="Times New Roman"/>
          <w:b/>
          <w:smallCaps/>
          <w:color w:val="000000"/>
        </w:rPr>
        <w:t xml:space="preserve"> 76</w:t>
      </w:r>
      <w:r w:rsidR="00FF7CA5">
        <w:rPr>
          <w:rFonts w:ascii="Times New Roman" w:hAnsi="Times New Roman" w:cs="Times New Roman"/>
          <w:b/>
          <w:smallCaps/>
          <w:color w:val="000000"/>
        </w:rPr>
        <w:t>1</w:t>
      </w:r>
    </w:p>
    <w:sectPr w:rsidR="007C526B" w:rsidRPr="00FF7CA5">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C33" w:rsidRDefault="004C3C33">
      <w:pPr>
        <w:spacing w:after="0" w:line="240" w:lineRule="auto"/>
      </w:pPr>
      <w:r>
        <w:separator/>
      </w:r>
    </w:p>
  </w:endnote>
  <w:endnote w:type="continuationSeparator" w:id="0">
    <w:p w:rsidR="004C3C33" w:rsidRDefault="004C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526B"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119A2">
      <w:rPr>
        <w:noProof/>
        <w:color w:val="000000"/>
      </w:rPr>
      <w:t>1</w:t>
    </w:r>
    <w:r>
      <w:rPr>
        <w:color w:val="000000"/>
      </w:rPr>
      <w:fldChar w:fldCharType="end"/>
    </w:r>
  </w:p>
  <w:p w:rsidR="007C526B"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rsidR="007C526B"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C33" w:rsidRDefault="004C3C33">
      <w:pPr>
        <w:spacing w:after="0" w:line="240" w:lineRule="auto"/>
      </w:pPr>
      <w:r>
        <w:separator/>
      </w:r>
    </w:p>
  </w:footnote>
  <w:footnote w:type="continuationSeparator" w:id="0">
    <w:p w:rsidR="004C3C33" w:rsidRDefault="004C3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526B"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080000" cy="1080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rsidR="007C526B" w:rsidRDefault="007C526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85A4A"/>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331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6B"/>
    <w:rsid w:val="000163C5"/>
    <w:rsid w:val="004C3C33"/>
    <w:rsid w:val="006119A2"/>
    <w:rsid w:val="007C526B"/>
    <w:rsid w:val="00CF221A"/>
    <w:rsid w:val="00FF7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6C7E"/>
  <w15:docId w15:val="{8F4C0D10-B3DA-48EC-8972-24541C1A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character" w:styleId="Hyperlink">
    <w:name w:val="Hyperlink"/>
    <w:unhideWhenUsed/>
    <w:rsid w:val="00B17688"/>
    <w:rPr>
      <w:color w:val="0000FF"/>
      <w:u w:val="single"/>
    </w:rPr>
  </w:style>
  <w:style w:type="paragraph" w:styleId="Textodenotaderodap">
    <w:name w:val="footnote text"/>
    <w:basedOn w:val="Normal"/>
    <w:link w:val="TextodenotaderodapChar"/>
    <w:unhideWhenUsed/>
    <w:rsid w:val="00B17688"/>
    <w:pPr>
      <w:spacing w:after="0" w:line="240" w:lineRule="auto"/>
      <w:jc w:val="both"/>
    </w:pPr>
    <w:rPr>
      <w:rFonts w:cs="Times New Roman"/>
      <w:sz w:val="20"/>
      <w:szCs w:val="20"/>
    </w:rPr>
  </w:style>
  <w:style w:type="character" w:customStyle="1" w:styleId="TextodenotaderodapChar">
    <w:name w:val="Texto de nota de rodapé Char"/>
    <w:basedOn w:val="Fontepargpadro"/>
    <w:link w:val="Textodenotaderodap"/>
    <w:uiPriority w:val="99"/>
    <w:rsid w:val="00B17688"/>
    <w:rPr>
      <w:rFonts w:ascii="Calibri" w:eastAsia="Calibri" w:hAnsi="Calibri" w:cs="Times New Roman"/>
      <w:sz w:val="20"/>
      <w:szCs w:val="20"/>
    </w:rPr>
  </w:style>
  <w:style w:type="character" w:styleId="Refdenotaderodap">
    <w:name w:val="footnote reference"/>
    <w:basedOn w:val="Fontepargpadro"/>
    <w:uiPriority w:val="99"/>
    <w:semiHidden/>
    <w:unhideWhenUsed/>
    <w:rsid w:val="00B17688"/>
    <w:rPr>
      <w:vertAlign w:val="superscript"/>
    </w:rPr>
  </w:style>
  <w:style w:type="character" w:styleId="nfase">
    <w:name w:val="Emphasis"/>
    <w:basedOn w:val="Fontepargpadro"/>
    <w:uiPriority w:val="20"/>
    <w:qFormat/>
    <w:rsid w:val="006967B7"/>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Apm8Lc37eM1gSLwHFF/5CWnEA==">AMUW2mVtCl2vVyc5g54z7cV0mIs1ik1HqDFjBqg8Zovh8VsiLYI9rKKHp26lZvfbrfTfIRAH0W0h8WY3TA/GfaddAXNybxS0xdUhse0E5ArutzYXLNIUytI=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114C1D-E49C-4CE2-B94F-11FDFFBED893}"/>
</file>

<file path=customXml/itemProps3.xml><?xml version="1.0" encoding="utf-8"?>
<ds:datastoreItem xmlns:ds="http://schemas.openxmlformats.org/officeDocument/2006/customXml" ds:itemID="{E453B3A2-81B0-4ED8-ABA1-1AE16F86396B}"/>
</file>

<file path=docProps/app.xml><?xml version="1.0" encoding="utf-8"?>
<Properties xmlns="http://schemas.openxmlformats.org/officeDocument/2006/extended-properties" xmlns:vt="http://schemas.openxmlformats.org/officeDocument/2006/docPropsVTypes">
  <Template>Normal</Template>
  <TotalTime>88</TotalTime>
  <Pages>6</Pages>
  <Words>1638</Words>
  <Characters>8847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3</cp:revision>
  <dcterms:created xsi:type="dcterms:W3CDTF">2022-08-08T18:20:00Z</dcterms:created>
  <dcterms:modified xsi:type="dcterms:W3CDTF">2022-12-19T17:36:00Z</dcterms:modified>
</cp:coreProperties>
</file>