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BB4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:rsidR="00BC3BB4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BC3BB4" w:rsidRDefault="00BC3BB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BA7764" w:rsidRDefault="00BA776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BC3BB4" w:rsidRPr="0028067F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67F"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28067F" w:rsidRPr="0028067F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28067F"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:rsidR="00BC3BB4" w:rsidRDefault="00BC3BB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64" w:rsidRDefault="00BA776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EMENTA: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Cadastro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nome social de adolescentes </w:t>
      </w:r>
      <w:r w:rsidR="002806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transexuais e travestis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nstituições de ensino estaduais e municipais. </w:t>
      </w:r>
      <w:r w:rsidR="0028067F">
        <w:rPr>
          <w:rFonts w:ascii="Times New Roman" w:eastAsia="Times New Roman" w:hAnsi="Times New Roman" w:cs="Times New Roman"/>
          <w:b/>
          <w:sz w:val="24"/>
          <w:szCs w:val="24"/>
        </w:rPr>
        <w:t xml:space="preserve">Regulamentação administrativa. </w:t>
      </w:r>
      <w:r w:rsidR="00BA7764">
        <w:rPr>
          <w:rFonts w:ascii="Times New Roman" w:eastAsia="Times New Roman" w:hAnsi="Times New Roman" w:cs="Times New Roman"/>
          <w:b/>
          <w:sz w:val="24"/>
          <w:szCs w:val="24"/>
        </w:rPr>
        <w:t>Exigências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autorização de pais ou responsáveis </w:t>
      </w:r>
      <w:r w:rsidR="00BA7764">
        <w:rPr>
          <w:rFonts w:ascii="Times New Roman" w:eastAsia="Times New Roman" w:hAnsi="Times New Roman" w:cs="Times New Roman"/>
          <w:b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menores de 18 (dezoito) anos. Restrição ao pleno exercício da autonomia de vontade. </w:t>
      </w:r>
      <w:r w:rsidR="0028067F">
        <w:rPr>
          <w:rFonts w:ascii="Times New Roman" w:eastAsia="Times New Roman" w:hAnsi="Times New Roman" w:cs="Times New Roman"/>
          <w:b/>
          <w:sz w:val="24"/>
          <w:szCs w:val="24"/>
        </w:rPr>
        <w:t xml:space="preserve">Reconhecimento de adolescentes como sujeitos de direito. </w:t>
      </w:r>
      <w:r w:rsidR="00BA7764">
        <w:rPr>
          <w:rFonts w:ascii="Times New Roman" w:eastAsia="Times New Roman" w:hAnsi="Times New Roman" w:cs="Times New Roman"/>
          <w:b/>
          <w:sz w:val="24"/>
          <w:szCs w:val="24"/>
        </w:rPr>
        <w:t>Garantia de respeito à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ignidade da pessoa humana, intimidade e cidadania. </w:t>
      </w:r>
      <w:r w:rsidR="00BA7764">
        <w:rPr>
          <w:rFonts w:ascii="Times New Roman" w:eastAsia="Times New Roman" w:hAnsi="Times New Roman" w:cs="Times New Roman"/>
          <w:b/>
          <w:sz w:val="24"/>
          <w:szCs w:val="24"/>
        </w:rPr>
        <w:t>Direitos fundamentais.</w:t>
      </w:r>
    </w:p>
    <w:p w:rsidR="00BC3BB4" w:rsidRDefault="00BC3BB4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7764" w:rsidRDefault="00BA7764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os fatos relacionados às dificuldades de cadastramento do nome social junto às instituições de ensino estaduais e municipais, enfrentadas por adolescentes trans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, especialmente por parte daqueles que se encontram em instituições de acolhimento ou que não contem com o apoio familiar para o livre exercício de sua identidade de gênero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tomar providências visando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garantir os direitos fundamentais desse grupo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hipervulnerabilizado.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Defensoria Pública do Estado de Minas Gerais tomou conhecimento de que adolescentes transgênero estariam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enfrentando dificuldades e impedimentos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quando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ção d</w:t>
      </w:r>
      <w:r>
        <w:rPr>
          <w:rFonts w:ascii="Times New Roman" w:eastAsia="Times New Roman" w:hAnsi="Times New Roman" w:cs="Times New Roman"/>
          <w:sz w:val="24"/>
          <w:szCs w:val="24"/>
        </w:rPr>
        <w:t>o cadastramento d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nome social em órgãos de educação estaduais e municipais,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nos casos em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tal solicitação é feita por menores de 18 (dezoito) anos desacompanhados d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pais ou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responsáveis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. Chegou à ciência da instituição que,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nesses casos,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para o cadastro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exige-se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>do adolescente a apresentação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autorização </w:t>
      </w:r>
      <w:r w:rsidR="00BA7764">
        <w:rPr>
          <w:rFonts w:ascii="Times New Roman" w:eastAsia="Times New Roman" w:hAnsi="Times New Roman" w:cs="Times New Roman"/>
          <w:sz w:val="24"/>
          <w:szCs w:val="24"/>
        </w:rPr>
        <w:t xml:space="preserve">de seus genitores ou de </w:t>
      </w:r>
      <w:r w:rsidR="00C22423">
        <w:rPr>
          <w:rFonts w:ascii="Times New Roman" w:eastAsia="Times New Roman" w:hAnsi="Times New Roman" w:cs="Times New Roman"/>
          <w:sz w:val="24"/>
          <w:szCs w:val="24"/>
        </w:rPr>
        <w:t>responsáveis</w:t>
      </w:r>
      <w:r>
        <w:rPr>
          <w:rFonts w:ascii="Times New Roman" w:eastAsia="Times New Roman" w:hAnsi="Times New Roman" w:cs="Times New Roman"/>
          <w:sz w:val="24"/>
          <w:szCs w:val="24"/>
        </w:rPr>
        <w:t>, nos termos da Resolução n° 3.423</w:t>
      </w:r>
      <w:r w:rsidR="00C2242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2017 da SEE/MG e da Resolução n° 002/2008 da CME/BH</w:t>
      </w:r>
      <w:r w:rsidR="00E109C7">
        <w:rPr>
          <w:rFonts w:ascii="Times New Roman" w:eastAsia="Times New Roman" w:hAnsi="Times New Roman" w:cs="Times New Roman"/>
          <w:sz w:val="24"/>
          <w:szCs w:val="24"/>
        </w:rPr>
        <w:t>, gerando embaraços ao exercício da autonomia de vontade de adolescentes trans e travestis quanto à sua identidade de gênero, além de impor empecilhos à sua dignidade e à fruição do direito fundamental à intimidade.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Estado de Minas Gerais</w:t>
      </w: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Secretaria Estadual de Educação de Minas Gerais</w:t>
      </w: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22423">
        <w:rPr>
          <w:rFonts w:ascii="Times New Roman" w:eastAsia="Times New Roman" w:hAnsi="Times New Roman" w:cs="Times New Roman"/>
          <w:sz w:val="24"/>
          <w:szCs w:val="24"/>
        </w:rPr>
        <w:t>Município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Belo Horizonte</w:t>
      </w: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Secretaria Municipal de Educação de Belo Horizonte</w:t>
      </w:r>
    </w:p>
    <w:p w:rsidR="00C22423" w:rsidRDefault="00C224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Municípios de Minas Gerais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LXXIV, e art. 134, da Constituição da República Federativa do Brasil de 1988 (CRFB/1988) e do art. 1º, da Lei Complementar Federal nº 80/1994;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construir uma sociedade livre, justa e solidária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além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promover o bem de todos, sem preconceitos de raça, sexo ou quaisquer outras formas de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1º, incisos II e III, e art. 3º, incisos I e IV, da CRFB/1988);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proteção e defesa dos direitos das crianças e adolescentes</w:t>
      </w:r>
      <w:r>
        <w:rPr>
          <w:rFonts w:ascii="Times New Roman" w:eastAsia="Times New Roman" w:hAnsi="Times New Roman" w:cs="Times New Roman"/>
          <w:sz w:val="24"/>
          <w:szCs w:val="24"/>
        </w:rPr>
        <w:t>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constitui dever da família, da sociedade e do Estado assegurar à criança, adolescente e jovem, com absoluta prioridade, o direito à vida, à saúde, à educação, à dignidade, ao respeito é à liberdade, além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colocá-los a salvo de toda forma de negligência, discriminação, exploração, violência, crueldade e opressão</w:t>
      </w:r>
      <w:r>
        <w:rPr>
          <w:rFonts w:ascii="Times New Roman" w:eastAsia="Times New Roman" w:hAnsi="Times New Roman" w:cs="Times New Roman"/>
          <w:sz w:val="24"/>
          <w:szCs w:val="24"/>
        </w:rPr>
        <w:t>, nos moldes do art. 227, da Constituição da República Federativa do Brasil (CRFB/1988);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educação é direito de todos e dever do Estado e da família, devendo ser promovida e incentivada com a colaboração da sociedade, visando ao pleno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desenvolvimento da pessoa e seu preparo para o exercício da cidadania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3FC">
        <w:rPr>
          <w:rFonts w:ascii="Times New Roman" w:eastAsia="Times New Roman" w:hAnsi="Times New Roman" w:cs="Times New Roman"/>
          <w:b/>
          <w:bCs/>
          <w:sz w:val="24"/>
          <w:szCs w:val="24"/>
        </w:rPr>
        <w:t>respeitando-se, sobretudo, os princípios do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cesso e permanência na escola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3FC">
        <w:rPr>
          <w:rFonts w:ascii="Times New Roman" w:eastAsia="Times New Roman" w:hAnsi="Times New Roman" w:cs="Times New Roman"/>
          <w:b/>
          <w:bCs/>
          <w:sz w:val="24"/>
          <w:szCs w:val="24"/>
        </w:rPr>
        <w:t>bem como do pluralismo de ideias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205 e art. 206, incisos I e III, ambos da Constituição da República Federativa do Brasil de 1988 (CRFB/1988);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pleno desenvolvimento físico, mental, moral, espiritual e social, em condições de liberdade e de dignidade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crianças e adolescentes detêm o </w:t>
      </w:r>
      <w:r w:rsidRPr="000030F5">
        <w:rPr>
          <w:rFonts w:ascii="Times New Roman" w:eastAsia="Times New Roman" w:hAnsi="Times New Roman" w:cs="Times New Roman"/>
          <w:b/>
          <w:bCs/>
          <w:sz w:val="24"/>
          <w:szCs w:val="24"/>
        </w:rPr>
        <w:t>direito à educação, com igualdade de condições para o acesso e permanência na escola, bem como o direito ao respeito por seus educadores</w:t>
      </w:r>
      <w:r>
        <w:rPr>
          <w:rFonts w:ascii="Times New Roman" w:eastAsia="Times New Roman" w:hAnsi="Times New Roman" w:cs="Times New Roman"/>
          <w:sz w:val="24"/>
          <w:szCs w:val="24"/>
        </w:rPr>
        <w:t>, conforme art. 53, incisos I e II, da Lei 8.069 (Estatuto da Criança e do Adolescente - ECA);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dever do Estado prestar serviços de educação básica, obrigatória e gratuita, por meio de escolas públicas, dos 4 (quatro) aos 17 (dezessete) anos de idade,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devendo zelar pela frequência de tal público alvo à escola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e, inclusive, recensear anualmente crianças e adolescentes em idade escolar que não concluíram tal etapa de aprendizagem, tudo nos moldes do art. 4º, inciso I, e art. 5º, incisos I e III, ambos da Lei 9.394 (Lei de Diretrizes de Bases da Educação);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Resolução n° 12</w:t>
      </w:r>
      <w:r w:rsidR="000030F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2015, do Conselho Nacional de Combate à Discriminação e Promoção dos Direitos de Lésbicas, Gays, Travestis e Transexuais (CNCD/LGBT) que prevê, </w:t>
      </w:r>
      <w:r w:rsidR="000030F5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seu art. 1°, o dever de garantia,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“pelas instituições e redes de ensino, em todos os níveis e modalidades, o reconhecimento e adoção do nome social àqueles 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àquelas cuja identificação civil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não reflita adequadamente sua identidade de gênero, mediante solicitação do próprio interessado”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Plano Estadual de Educação de Minas Gerais prevê como diretrizes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superação das desigualdades educacionais, com ênfase na promoção da cidadania e na erradicação de todas as formas de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respeito aos direitos humanos e o combate ao preconceito e à violência no ambiente escolar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30F5">
        <w:rPr>
          <w:rFonts w:ascii="Times New Roman" w:eastAsia="Times New Roman" w:hAnsi="Times New Roman" w:cs="Times New Roman"/>
          <w:sz w:val="24"/>
          <w:szCs w:val="24"/>
        </w:rPr>
        <w:t>promovendo</w:t>
      </w:r>
      <w:r w:rsidRPr="00003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políticas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prevenção à evasão escolar motivada por preconceito ou qualquer forma de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2º, V e X, e art. 3º, Lei Estadual n. 23.197</w:t>
      </w:r>
      <w:r w:rsidR="000030F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2018);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2°, § 3° da Resolução SEE/MG n° 3.423/2017,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exige que a solicitação de cadastro de nome social deverá ser protocolada por meio de requerimento, por escrito, dirigido à direção da escola, formulado por estudantes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partir de 18 anos completos, ou, em casos de pedidos de pessoas menores de 18 anos, mediante a autorização dos responsáveis legais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Plano Municipal de Educação de Belo Horizonte, que prevê, em consonância com o Plano Estadual,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superação das desigualdades educacionais, com ênfase na promoção da cidadania e na erradicação de todas as formas de discriminação, bem como a universalização do atendimento escolar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2°, incisos II e III</w:t>
      </w:r>
      <w:r w:rsidR="000030F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Lei Municipal n° 10.917</w:t>
      </w:r>
      <w:r w:rsidR="000030F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2016);  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da Resolução CME/BH n° 002/2008, que estabelece, em seu art. 5°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parágrafo único, que os alunos e as alunas com 18 (dezoito) anos completos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poderão fazer uso do direito de inclusão do nome social nos registros escolares por meio de requerimento dirigido à direção escolar e, em casos de menores de 18 (dezoito) anos, tal solicitação só poderá ser realizada mediante autorização dos pais ou responsáveis, que deverão assinar o requerimento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Direta de Inconstitucionalidade por Omissão (ADO) 26 e do Mandado de Injunção (MI) 4733, reconheceu a inércia do Poder Legislativo em cumprir o mandado constitucional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criminalização de atos atentatórias contra direitos fundamentais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(definidos no art. 5º, incisos XLI e XLII, da CRFB/88), no que toca às práticas de LGBTfobia, decidindo, portanto,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suprir a omissão estatal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e, enquanto não houver a elaboração de leis protetivas sobre o assunto, deu tratamento às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condutas homofóbicas e transfóbicas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equiparadas aos crimes de racismo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definidos pela Lei n. 7.716/1989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Supremo Tribunal Federal (STF), no julgamento da Ação Direta de Inconstitucionalidade (ADI) 4275,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econheceu o direito da pessoa transexual à alteração do prenome e marcador de gênero no registro civil, independentemente da realização prévia de qualquer cirurgia, tratamento hormonal, emissão de laudo médico ou psicológico ou de procedimento judicial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respeito ao direito da pessoa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ao nome, à personalidade, à liberdade, à honra e à vida privada (art. 5º, inciso X, da CRFB/88), tudo isso visando a preservar o indivíduo de exposições vexatórias e atentatórias à sua dignidade: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vulnerabilidade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atinge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população LGBTQIA+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especialmente no ambiente escolar, torna os membros de referida comunidade mais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suscetíveis a serem vítimas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bullying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demais tratamentos hostis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 instituições educacionais, fatores que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prejudicam o desempenho acadêmico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causam altas taxas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evasão escolar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 fases ainda precoces de formação e educação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tudo conforme dados da “Pesquisa Nacional sobre o Ambiente Educacional no Brasil - 2016”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conteúdo do Dossiê: Assassinatos e Violências contra Travestis e Transexuais Brasileiras em 2022, da Associação Nacional de Travestis e Transexuais (ANTRA), que aduziu que </w:t>
      </w:r>
      <w:r w:rsidRPr="000D6068">
        <w:rPr>
          <w:rFonts w:ascii="Times New Roman" w:eastAsia="Times New Roman" w:hAnsi="Times New Roman" w:cs="Times New Roman"/>
          <w:b/>
          <w:bCs/>
          <w:sz w:val="24"/>
          <w:szCs w:val="24"/>
        </w:rPr>
        <w:t>diversas escolas não têm garantido, às pessoas transgênero, o direito ao uso do nome social e/ou o respeito à identidade de gênero, o que acaba por intensificar os motivos ligados à exclusão do ambiente escolar, interrompendo o processo educacional desses indivídu</w:t>
      </w:r>
      <w:r w:rsidR="000D6068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os Princípios de Yogyakarta, dos quais o Brasil é signatário, estabelecem que é dever do Estado “Assegurar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leis e políticas deem proteção adequada a estudantes, funcionários/as e professores/as de diferentes orientações sexuais e identidades de gênero, contra toda forma de exclusão social e violência no ambiente escolar, incluindo intimidação e assédio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devendo, ainda, “Garantir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estudantes sujeitos a tal exclusão ou violência não sejam marginalizados/as </w:t>
      </w:r>
      <w:r>
        <w:rPr>
          <w:rFonts w:ascii="Times New Roman" w:eastAsia="Times New Roman" w:hAnsi="Times New Roman" w:cs="Times New Roman"/>
          <w:sz w:val="24"/>
          <w:szCs w:val="24"/>
        </w:rPr>
        <w:t>ou segregados/as por razões de proteção e que seus interesses sejam identificados e respeitados de maneira participativa”;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assegurar o direito ao cadastro </w:t>
      </w:r>
      <w:r w:rsidR="000D6068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nome social a adolescentes transgênero nas instituições de ensino estaduais e municipais, bem como acompanhar políticas públicas que promovam o pluralismo, a formação cidadã e o combate à discriminação</w:t>
      </w:r>
      <w:r w:rsidR="000D6068">
        <w:rPr>
          <w:rFonts w:ascii="Times New Roman" w:eastAsia="Times New Roman" w:hAnsi="Times New Roman" w:cs="Times New Roman"/>
          <w:sz w:val="24"/>
          <w:szCs w:val="24"/>
        </w:rPr>
        <w:t xml:space="preserve"> no ambiente escolar.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 w:rsidP="000D60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 juntada de ofícios, documentos e demais conteúdos relacionados ao caso</w:t>
      </w:r>
      <w:r w:rsidR="000D6068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as resoluções e atos normativos existentes sobre a temática;</w:t>
      </w:r>
    </w:p>
    <w:p w:rsidR="00BC3BB4" w:rsidRDefault="00BC3BB4" w:rsidP="000D60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B4" w:rsidRDefault="00000000" w:rsidP="000D60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a elaboração de instrumentos extrajudiciais (ofícios, recomendações, informes técnico-jurídicos e outros) para atuação junto aos órgãos públicos responsáveis pela gestão de ensino, bem como para subsidiar o trabalho de Defensoras e Defensores Públicos da Criança e Adolescente quanto à matéria.</w:t>
      </w:r>
    </w:p>
    <w:p w:rsidR="00BC3BB4" w:rsidRDefault="00BC3B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D606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Default="00BC3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6068" w:rsidRDefault="000D606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BB4" w:rsidRPr="000D606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0D6068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:rsidR="00BC3BB4" w:rsidRPr="000D6068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0D6068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:rsidR="00BC3BB4" w:rsidRPr="000D6068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0D6068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:rsidR="00BC3BB4" w:rsidRPr="000D6068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0D6068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0D6068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 883</w:t>
      </w:r>
    </w:p>
    <w:sectPr w:rsidR="00BC3BB4" w:rsidRPr="000D606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6AB" w:rsidRDefault="008A66AB">
      <w:pPr>
        <w:spacing w:after="0" w:line="240" w:lineRule="auto"/>
      </w:pPr>
      <w:r>
        <w:separator/>
      </w:r>
    </w:p>
  </w:endnote>
  <w:endnote w:type="continuationSeparator" w:id="0">
    <w:p w:rsidR="008A66AB" w:rsidRDefault="008A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067F">
      <w:rPr>
        <w:noProof/>
        <w:color w:val="000000"/>
      </w:rPr>
      <w:t>1</w:t>
    </w:r>
    <w:r>
      <w:rPr>
        <w:color w:val="000000"/>
      </w:rPr>
      <w:fldChar w:fldCharType="end"/>
    </w:r>
  </w:p>
  <w:p w:rsidR="00BC3B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BC3B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6AB" w:rsidRDefault="008A66AB">
      <w:pPr>
        <w:spacing w:after="0" w:line="240" w:lineRule="auto"/>
      </w:pPr>
      <w:r>
        <w:separator/>
      </w:r>
    </w:p>
  </w:footnote>
  <w:footnote w:type="continuationSeparator" w:id="0">
    <w:p w:rsidR="008A66AB" w:rsidRDefault="008A66AB">
      <w:pPr>
        <w:spacing w:after="0" w:line="240" w:lineRule="auto"/>
      </w:pPr>
      <w:r>
        <w:continuationSeparator/>
      </w:r>
    </w:p>
  </w:footnote>
  <w:footnote w:id="1">
    <w:p w:rsidR="00BC3BB4" w:rsidRPr="000D6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06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D60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ABGLT - ASSOCIAÇÃO BRASILEIRA DE LÉSBICAS, GAYS, BISSEXUAIS, TRAVESTIS, TRANSEXUAIS E INTERSEXOS. Secretaria de Educação. Pesquisa Nacional sobre o Ambiente Educacional no Brasil 2016. Disponível em: &lt;</w:t>
      </w:r>
      <w:hyperlink r:id="rId1">
        <w:r w:rsidRPr="000D6068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https://www.grupodignidade.org.br/wp-content/uploads/2016/03/IAE-Brasil-Web-3-1.pdf</w:t>
        </w:r>
      </w:hyperlink>
      <w:r w:rsidRPr="000D6068">
        <w:rPr>
          <w:rFonts w:ascii="Times New Roman" w:eastAsia="Times New Roman" w:hAnsi="Times New Roman" w:cs="Times New Roman"/>
          <w:color w:val="000000"/>
          <w:sz w:val="20"/>
          <w:szCs w:val="20"/>
        </w:rPr>
        <w:t>&gt;. Acesso em 07 de julho de 2022.</w:t>
      </w:r>
    </w:p>
  </w:footnote>
  <w:footnote w:id="2">
    <w:p w:rsidR="00BC3BB4" w:rsidRDefault="00000000">
      <w:pPr>
        <w:spacing w:after="0" w:line="240" w:lineRule="auto"/>
        <w:rPr>
          <w:sz w:val="20"/>
          <w:szCs w:val="20"/>
        </w:rPr>
      </w:pPr>
      <w:r w:rsidRPr="000D606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D6068">
        <w:rPr>
          <w:rFonts w:ascii="Times New Roman" w:hAnsi="Times New Roman" w:cs="Times New Roman"/>
          <w:sz w:val="20"/>
          <w:szCs w:val="20"/>
        </w:rPr>
        <w:t xml:space="preserve"> 2 BENEVIDES. Bruna G. ANTRA - Associação Nacional de Travestis e Transexuais do Brasil. Dossiê: Assassinatos e Violências contra Travestis e Transexuais Brasileiras em 2022. Disponível em: https://antrabrasil.files.wordpress.com/2023/01/dossieantra2023.pdf. Acesso em: 20 mar.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B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3BB4" w:rsidRDefault="00BC3B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B4"/>
    <w:rsid w:val="000030F5"/>
    <w:rsid w:val="000D6068"/>
    <w:rsid w:val="0028067F"/>
    <w:rsid w:val="006B63FC"/>
    <w:rsid w:val="008A66AB"/>
    <w:rsid w:val="00BA7764"/>
    <w:rsid w:val="00BC3BB4"/>
    <w:rsid w:val="00C22423"/>
    <w:rsid w:val="00E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9225"/>
  <w15:docId w15:val="{F85A6CF5-EA38-47CC-9F44-70B98B91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upodignidade.org.br/wp-content/uploads/2016/03/IAE-Brasil-Web-3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DTMhJXFjG/DtCN11kXINL7wG0Q==">AMUW2mVuN0dGk/IGVPumzE++3G9DwOxn8bU8+dWG6yev1Bif4IjGW/R0/1bJ5ajnnYu8EgguPcDJwWMLay2noZwFX+N1dyBVd/jhMR5t2bCkAR63e6mYMs4=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44B844-C1FA-46F3-9702-F387CAF3270D}"/>
</file>

<file path=customXml/itemProps3.xml><?xml version="1.0" encoding="utf-8"?>
<ds:datastoreItem xmlns:ds="http://schemas.openxmlformats.org/officeDocument/2006/customXml" ds:itemID="{61CE8506-3364-4373-8774-5765992DC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2132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5</cp:revision>
  <dcterms:created xsi:type="dcterms:W3CDTF">2022-01-17T12:14:00Z</dcterms:created>
  <dcterms:modified xsi:type="dcterms:W3CDTF">2023-03-24T20:17:00Z</dcterms:modified>
</cp:coreProperties>
</file>