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3999" w14:textId="4EE3D884" w:rsidR="00472B25" w:rsidRPr="00917DB7" w:rsidRDefault="00917DB7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Portaria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d</w:t>
      </w: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>e Instauração</w:t>
      </w:r>
    </w:p>
    <w:p w14:paraId="3CC74C3F" w14:textId="1E08E9C1" w:rsidR="00851D40" w:rsidRPr="00917DB7" w:rsidRDefault="00917DB7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Procedimento Administrativo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d</w:t>
      </w: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>e Tutela Coletiva</w:t>
      </w:r>
    </w:p>
    <w:p w14:paraId="2A292082" w14:textId="7AF93709" w:rsidR="00472B25" w:rsidRDefault="00472B25" w:rsidP="00990E1C">
      <w:pPr>
        <w:pStyle w:val="SemEspaamento"/>
        <w:rPr>
          <w:rFonts w:ascii="Times New Roman" w:hAnsi="Times New Roman" w:cs="Times New Roman"/>
        </w:rPr>
      </w:pPr>
    </w:p>
    <w:p w14:paraId="5FE9915D" w14:textId="77777777" w:rsidR="00B100C3" w:rsidRDefault="00B100C3" w:rsidP="00990E1C">
      <w:pPr>
        <w:pStyle w:val="SemEspaamento"/>
        <w:rPr>
          <w:rFonts w:ascii="Times New Roman" w:hAnsi="Times New Roman" w:cs="Times New Roman"/>
        </w:rPr>
      </w:pPr>
    </w:p>
    <w:p w14:paraId="44C4EDB2" w14:textId="558385DA" w:rsidR="00851D40" w:rsidRPr="00472B25" w:rsidRDefault="00851D40" w:rsidP="00990E1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P</w:t>
      </w:r>
      <w:r w:rsidR="00C913B4" w:rsidRPr="00472B25">
        <w:rPr>
          <w:rFonts w:ascii="Times New Roman" w:hAnsi="Times New Roman" w:cs="Times New Roman"/>
          <w:sz w:val="24"/>
          <w:szCs w:val="24"/>
        </w:rPr>
        <w:t>TAC</w:t>
      </w:r>
      <w:r w:rsidRPr="00472B25">
        <w:rPr>
          <w:rFonts w:ascii="Times New Roman" w:hAnsi="Times New Roman" w:cs="Times New Roman"/>
          <w:sz w:val="24"/>
          <w:szCs w:val="24"/>
        </w:rPr>
        <w:t xml:space="preserve"> nº </w:t>
      </w:r>
      <w:r w:rsidR="0071083D">
        <w:rPr>
          <w:rFonts w:ascii="Times New Roman" w:hAnsi="Times New Roman" w:cs="Times New Roman"/>
          <w:sz w:val="24"/>
          <w:szCs w:val="24"/>
        </w:rPr>
        <w:t>0</w:t>
      </w:r>
      <w:r w:rsidR="00917DB7">
        <w:rPr>
          <w:rFonts w:ascii="Times New Roman" w:hAnsi="Times New Roman" w:cs="Times New Roman"/>
          <w:sz w:val="24"/>
          <w:szCs w:val="24"/>
        </w:rPr>
        <w:t>16</w:t>
      </w:r>
      <w:r w:rsidRPr="00472B25">
        <w:rPr>
          <w:rFonts w:ascii="Times New Roman" w:hAnsi="Times New Roman" w:cs="Times New Roman"/>
          <w:sz w:val="24"/>
          <w:szCs w:val="24"/>
        </w:rPr>
        <w:t>/2022</w:t>
      </w:r>
    </w:p>
    <w:p w14:paraId="51DF9337" w14:textId="2165BF3A" w:rsidR="00851D40" w:rsidRPr="00086530" w:rsidRDefault="00851D40" w:rsidP="00086530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4E3018" w14:textId="61BFDA3E" w:rsidR="00851D40" w:rsidRPr="00086530" w:rsidRDefault="00851D40" w:rsidP="00086530">
      <w:pPr>
        <w:pStyle w:val="SemEspaamento"/>
        <w:spacing w:line="360" w:lineRule="auto"/>
        <w:ind w:left="2268"/>
        <w:rPr>
          <w:rFonts w:ascii="Times New Roman" w:hAnsi="Times New Roman" w:cs="Times New Roman"/>
          <w:i/>
          <w:sz w:val="24"/>
          <w:szCs w:val="24"/>
        </w:rPr>
      </w:pPr>
      <w:r w:rsidRPr="00086530">
        <w:rPr>
          <w:rFonts w:ascii="Times New Roman" w:hAnsi="Times New Roman" w:cs="Times New Roman"/>
          <w:sz w:val="24"/>
          <w:szCs w:val="24"/>
        </w:rPr>
        <w:t>EMENTA:</w:t>
      </w:r>
      <w:r w:rsidR="006967B7" w:rsidRPr="00086530">
        <w:rPr>
          <w:rFonts w:ascii="Times New Roman" w:hAnsi="Times New Roman" w:cs="Times New Roman"/>
          <w:sz w:val="24"/>
          <w:szCs w:val="24"/>
        </w:rPr>
        <w:t xml:space="preserve"> </w:t>
      </w:r>
      <w:r w:rsidR="00917DB7" w:rsidRPr="00086530">
        <w:rPr>
          <w:rFonts w:ascii="Times New Roman" w:hAnsi="Times New Roman" w:cs="Times New Roman"/>
          <w:sz w:val="24"/>
          <w:szCs w:val="24"/>
        </w:rPr>
        <w:t xml:space="preserve">Cessação </w:t>
      </w:r>
      <w:r w:rsidR="00917DB7">
        <w:rPr>
          <w:rFonts w:ascii="Times New Roman" w:hAnsi="Times New Roman" w:cs="Times New Roman"/>
          <w:sz w:val="24"/>
          <w:szCs w:val="24"/>
        </w:rPr>
        <w:t>d</w:t>
      </w:r>
      <w:r w:rsidR="00917DB7" w:rsidRPr="00086530">
        <w:rPr>
          <w:rFonts w:ascii="Times New Roman" w:hAnsi="Times New Roman" w:cs="Times New Roman"/>
          <w:sz w:val="24"/>
          <w:szCs w:val="24"/>
        </w:rPr>
        <w:t xml:space="preserve">e Ações Coercitivas </w:t>
      </w:r>
      <w:r w:rsidR="00917DB7">
        <w:rPr>
          <w:rFonts w:ascii="Times New Roman" w:hAnsi="Times New Roman" w:cs="Times New Roman"/>
          <w:sz w:val="24"/>
          <w:szCs w:val="24"/>
        </w:rPr>
        <w:t>d</w:t>
      </w:r>
      <w:r w:rsidR="00917DB7" w:rsidRPr="00086530">
        <w:rPr>
          <w:rFonts w:ascii="Times New Roman" w:hAnsi="Times New Roman" w:cs="Times New Roman"/>
          <w:sz w:val="24"/>
          <w:szCs w:val="24"/>
        </w:rPr>
        <w:t xml:space="preserve">e Natureza Transfóbica </w:t>
      </w:r>
      <w:r w:rsidR="00917DB7">
        <w:rPr>
          <w:rFonts w:ascii="Times New Roman" w:hAnsi="Times New Roman" w:cs="Times New Roman"/>
          <w:sz w:val="24"/>
          <w:szCs w:val="24"/>
        </w:rPr>
        <w:t>n</w:t>
      </w:r>
      <w:r w:rsidR="00917DB7" w:rsidRPr="00086530">
        <w:rPr>
          <w:rFonts w:ascii="Times New Roman" w:hAnsi="Times New Roman" w:cs="Times New Roman"/>
          <w:sz w:val="24"/>
          <w:szCs w:val="24"/>
        </w:rPr>
        <w:t xml:space="preserve">o Sistema Socioeducativo Mineiro. Elaboração </w:t>
      </w:r>
      <w:r w:rsidR="00917DB7">
        <w:rPr>
          <w:rFonts w:ascii="Times New Roman" w:hAnsi="Times New Roman" w:cs="Times New Roman"/>
          <w:sz w:val="24"/>
          <w:szCs w:val="24"/>
        </w:rPr>
        <w:t>de</w:t>
      </w:r>
      <w:r w:rsidR="00917DB7" w:rsidRPr="00086530">
        <w:rPr>
          <w:rFonts w:ascii="Times New Roman" w:hAnsi="Times New Roman" w:cs="Times New Roman"/>
          <w:sz w:val="24"/>
          <w:szCs w:val="24"/>
        </w:rPr>
        <w:t xml:space="preserve"> Plano </w:t>
      </w:r>
      <w:r w:rsidR="00917DB7">
        <w:rPr>
          <w:rFonts w:ascii="Times New Roman" w:hAnsi="Times New Roman" w:cs="Times New Roman"/>
          <w:sz w:val="24"/>
          <w:szCs w:val="24"/>
        </w:rPr>
        <w:t>d</w:t>
      </w:r>
      <w:r w:rsidR="00917DB7" w:rsidRPr="00086530">
        <w:rPr>
          <w:rFonts w:ascii="Times New Roman" w:hAnsi="Times New Roman" w:cs="Times New Roman"/>
          <w:sz w:val="24"/>
          <w:szCs w:val="24"/>
        </w:rPr>
        <w:t xml:space="preserve">e Ação </w:t>
      </w:r>
      <w:r w:rsidR="00917DB7">
        <w:rPr>
          <w:rFonts w:ascii="Times New Roman" w:hAnsi="Times New Roman" w:cs="Times New Roman"/>
          <w:sz w:val="24"/>
          <w:szCs w:val="24"/>
        </w:rPr>
        <w:t>e</w:t>
      </w:r>
      <w:r w:rsidR="00917DB7" w:rsidRPr="00086530">
        <w:rPr>
          <w:rFonts w:ascii="Times New Roman" w:hAnsi="Times New Roman" w:cs="Times New Roman"/>
          <w:sz w:val="24"/>
          <w:szCs w:val="24"/>
        </w:rPr>
        <w:t xml:space="preserve"> Combate </w:t>
      </w:r>
      <w:r w:rsidR="00917DB7">
        <w:rPr>
          <w:rFonts w:ascii="Times New Roman" w:hAnsi="Times New Roman" w:cs="Times New Roman"/>
          <w:sz w:val="24"/>
          <w:szCs w:val="24"/>
        </w:rPr>
        <w:t>à</w:t>
      </w:r>
      <w:r w:rsidR="00917DB7" w:rsidRPr="00086530">
        <w:rPr>
          <w:rFonts w:ascii="Times New Roman" w:hAnsi="Times New Roman" w:cs="Times New Roman"/>
          <w:sz w:val="24"/>
          <w:szCs w:val="24"/>
        </w:rPr>
        <w:t xml:space="preserve"> Transfobia </w:t>
      </w:r>
      <w:r w:rsidR="00917DB7">
        <w:rPr>
          <w:rFonts w:ascii="Times New Roman" w:hAnsi="Times New Roman" w:cs="Times New Roman"/>
          <w:sz w:val="24"/>
          <w:szCs w:val="24"/>
        </w:rPr>
        <w:t>n</w:t>
      </w:r>
      <w:r w:rsidR="00917DB7" w:rsidRPr="00086530">
        <w:rPr>
          <w:rFonts w:ascii="Times New Roman" w:hAnsi="Times New Roman" w:cs="Times New Roman"/>
          <w:sz w:val="24"/>
          <w:szCs w:val="24"/>
        </w:rPr>
        <w:t xml:space="preserve">o Sistema Socioeducativo. </w:t>
      </w:r>
      <w:r w:rsidR="00917DB7" w:rsidRPr="00086530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Implementação Efetiva </w:t>
      </w:r>
      <w:r w:rsidR="00917DB7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d</w:t>
      </w:r>
      <w:r w:rsidR="00917DB7" w:rsidRPr="00086530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a Resolução </w:t>
      </w:r>
      <w:r w:rsidR="00917DB7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SESP n</w:t>
      </w:r>
      <w:r w:rsidR="00917DB7" w:rsidRPr="00086530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. 18/2018. </w:t>
      </w:r>
      <w:r w:rsidR="00917DB7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Possível Atuação Discriminatória. </w:t>
      </w:r>
      <w:r w:rsidR="00917DB7" w:rsidRPr="00086530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Apuração </w:t>
      </w:r>
      <w:r w:rsidR="00917DB7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d</w:t>
      </w:r>
      <w:r w:rsidR="00917DB7" w:rsidRPr="00086530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e Violação </w:t>
      </w:r>
      <w:r w:rsidR="00917DB7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d</w:t>
      </w:r>
      <w:r w:rsidR="00917DB7" w:rsidRPr="00086530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e Direitos Individuais</w:t>
      </w:r>
      <w:r w:rsidR="00F7624F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 e Coletivos</w:t>
      </w:r>
      <w:r w:rsidR="00917DB7" w:rsidRPr="00086530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 xml:space="preserve">. </w:t>
      </w:r>
      <w:r w:rsidR="00917DB7">
        <w:rPr>
          <w:rStyle w:val="nfase"/>
          <w:rFonts w:ascii="Times New Roman" w:hAnsi="Times New Roman" w:cs="Times New Roman"/>
          <w:i w:val="0"/>
          <w:color w:val="000000"/>
          <w:sz w:val="24"/>
          <w:szCs w:val="24"/>
        </w:rPr>
        <w:t>Indenização.</w:t>
      </w:r>
    </w:p>
    <w:p w14:paraId="40DFFCD6" w14:textId="6BF38777" w:rsidR="00AD11BA" w:rsidRDefault="00AD11BA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7AA8757F" w14:textId="3AF5422C" w:rsidR="00851D40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 w:rsidR="007B090D">
        <w:rPr>
          <w:rFonts w:ascii="Times New Roman" w:hAnsi="Times New Roman" w:cs="Times New Roman"/>
          <w:sz w:val="24"/>
          <w:szCs w:val="24"/>
        </w:rPr>
        <w:t xml:space="preserve">no </w:t>
      </w:r>
      <w:r w:rsidR="007B090D" w:rsidRPr="007B090D">
        <w:rPr>
          <w:rFonts w:ascii="Times New Roman" w:hAnsi="Times New Roman" w:cs="Times New Roman"/>
          <w:sz w:val="24"/>
          <w:szCs w:val="24"/>
        </w:rPr>
        <w:t>exercício da</w:t>
      </w:r>
      <w:r w:rsidR="00765E20">
        <w:rPr>
          <w:rFonts w:ascii="Times New Roman" w:hAnsi="Times New Roman" w:cs="Times New Roman"/>
          <w:sz w:val="24"/>
          <w:szCs w:val="24"/>
        </w:rPr>
        <w:t>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inc</w:t>
      </w:r>
      <w:r w:rsidR="007B090D">
        <w:rPr>
          <w:rFonts w:ascii="Times New Roman" w:hAnsi="Times New Roman" w:cs="Times New Roman"/>
          <w:sz w:val="24"/>
          <w:szCs w:val="24"/>
        </w:rPr>
        <w:t>iso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LXXIV </w:t>
      </w:r>
      <w:r w:rsidR="007B090D">
        <w:rPr>
          <w:rFonts w:ascii="Times New Roman" w:hAnsi="Times New Roman" w:cs="Times New Roman"/>
          <w:sz w:val="24"/>
          <w:szCs w:val="24"/>
        </w:rPr>
        <w:t>e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129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1º e</w:t>
      </w:r>
      <w:r w:rsidR="007B090D">
        <w:rPr>
          <w:rFonts w:ascii="Times New Roman" w:hAnsi="Times New Roman" w:cs="Times New Roman"/>
          <w:sz w:val="24"/>
          <w:szCs w:val="24"/>
        </w:rPr>
        <w:t xml:space="preserve"> art.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4°,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I, II, III, VII, </w:t>
      </w:r>
      <w:r w:rsidR="007B090D">
        <w:rPr>
          <w:rFonts w:ascii="Times New Roman" w:hAnsi="Times New Roman" w:cs="Times New Roman"/>
          <w:sz w:val="24"/>
          <w:szCs w:val="24"/>
        </w:rPr>
        <w:t xml:space="preserve">VIII, </w:t>
      </w:r>
      <w:r w:rsidR="007B090D" w:rsidRPr="007B090D">
        <w:rPr>
          <w:rFonts w:ascii="Times New Roman" w:hAnsi="Times New Roman" w:cs="Times New Roman"/>
          <w:sz w:val="24"/>
          <w:szCs w:val="24"/>
        </w:rPr>
        <w:t>X</w:t>
      </w:r>
      <w:r w:rsidR="00C0013A">
        <w:rPr>
          <w:rFonts w:ascii="Times New Roman" w:hAnsi="Times New Roman" w:cs="Times New Roman"/>
          <w:sz w:val="24"/>
          <w:szCs w:val="24"/>
        </w:rPr>
        <w:t>,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XI</w:t>
      </w:r>
      <w:r w:rsidR="00C0013A">
        <w:rPr>
          <w:rFonts w:ascii="Times New Roman" w:hAnsi="Times New Roman" w:cs="Times New Roman"/>
          <w:sz w:val="24"/>
          <w:szCs w:val="24"/>
        </w:rPr>
        <w:t xml:space="preserve"> e XII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5°,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</w:t>
      </w:r>
      <w:r w:rsidR="005D2519">
        <w:rPr>
          <w:rFonts w:ascii="Times New Roman" w:hAnsi="Times New Roman" w:cs="Times New Roman"/>
          <w:sz w:val="24"/>
          <w:szCs w:val="24"/>
        </w:rPr>
        <w:t xml:space="preserve"> e IX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Estadual 65/2003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 w:rsidR="00765E20">
        <w:rPr>
          <w:rFonts w:ascii="Times New Roman" w:hAnsi="Times New Roman" w:cs="Times New Roman"/>
          <w:sz w:val="24"/>
          <w:szCs w:val="24"/>
        </w:rPr>
        <w:t>intermédio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765E20">
        <w:rPr>
          <w:rFonts w:ascii="Times New Roman" w:hAnsi="Times New Roman" w:cs="Times New Roman"/>
          <w:sz w:val="24"/>
          <w:szCs w:val="24"/>
        </w:rPr>
        <w:t xml:space="preserve">dos Defensores Públicos </w:t>
      </w:r>
      <w:r w:rsidR="00765E20" w:rsidRPr="00C913B4">
        <w:rPr>
          <w:rFonts w:ascii="Times New Roman" w:hAnsi="Times New Roman" w:cs="Times New Roman"/>
          <w:sz w:val="24"/>
          <w:szCs w:val="24"/>
        </w:rPr>
        <w:t>signatári</w:t>
      </w:r>
      <w:r w:rsidR="00765E20">
        <w:rPr>
          <w:rFonts w:ascii="Times New Roman" w:hAnsi="Times New Roman" w:cs="Times New Roman"/>
          <w:sz w:val="24"/>
          <w:szCs w:val="24"/>
        </w:rPr>
        <w:t>os</w:t>
      </w:r>
      <w:r w:rsidR="00765E20" w:rsidRPr="00C913B4">
        <w:rPr>
          <w:rFonts w:ascii="Times New Roman" w:hAnsi="Times New Roman" w:cs="Times New Roman"/>
          <w:sz w:val="24"/>
          <w:szCs w:val="24"/>
        </w:rPr>
        <w:t>,</w:t>
      </w:r>
      <w:r w:rsidR="00765E20">
        <w:rPr>
          <w:rFonts w:ascii="Times New Roman" w:hAnsi="Times New Roman" w:cs="Times New Roman"/>
          <w:sz w:val="24"/>
          <w:szCs w:val="24"/>
        </w:rPr>
        <w:t xml:space="preserve"> instaura o presente Procedimento Administrativo de Tutela Coletiva</w:t>
      </w:r>
      <w:r w:rsidR="00472B25">
        <w:rPr>
          <w:rFonts w:ascii="Times New Roman" w:hAnsi="Times New Roman" w:cs="Times New Roman"/>
          <w:sz w:val="24"/>
          <w:szCs w:val="24"/>
        </w:rPr>
        <w:t xml:space="preserve"> (PTAC)</w:t>
      </w:r>
      <w:r w:rsidR="005D2519">
        <w:rPr>
          <w:rFonts w:ascii="Times New Roman" w:hAnsi="Times New Roman" w:cs="Times New Roman"/>
          <w:sz w:val="24"/>
          <w:szCs w:val="24"/>
        </w:rPr>
        <w:t>,</w:t>
      </w:r>
      <w:r w:rsidR="00472B25">
        <w:rPr>
          <w:rFonts w:ascii="Times New Roman" w:hAnsi="Times New Roman" w:cs="Times New Roman"/>
          <w:sz w:val="24"/>
          <w:szCs w:val="24"/>
        </w:rPr>
        <w:t xml:space="preserve"> </w:t>
      </w:r>
      <w:r w:rsidR="00A22EB5">
        <w:rPr>
          <w:rFonts w:ascii="Times New Roman" w:hAnsi="Times New Roman" w:cs="Times New Roman"/>
          <w:sz w:val="24"/>
          <w:szCs w:val="24"/>
        </w:rPr>
        <w:t xml:space="preserve">a fim de </w:t>
      </w:r>
      <w:r w:rsidR="00DE1BC6">
        <w:rPr>
          <w:rFonts w:ascii="Times New Roman" w:hAnsi="Times New Roman" w:cs="Times New Roman"/>
          <w:sz w:val="24"/>
          <w:szCs w:val="24"/>
        </w:rPr>
        <w:t xml:space="preserve">apurar fatos relacionados com a </w:t>
      </w:r>
      <w:r w:rsidR="00086530">
        <w:rPr>
          <w:rFonts w:ascii="Times New Roman" w:hAnsi="Times New Roman" w:cs="Times New Roman"/>
          <w:sz w:val="24"/>
          <w:szCs w:val="24"/>
        </w:rPr>
        <w:t xml:space="preserve">violação de direitos individuais e coletivos de adolescentes transgênero nas unidades socioeducativas do Estado de Minas Gerais. </w:t>
      </w:r>
    </w:p>
    <w:p w14:paraId="5A763567" w14:textId="03EB871D" w:rsidR="00A22EB5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4180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SÍNTESE DOS FATOS:</w:t>
      </w:r>
    </w:p>
    <w:p w14:paraId="57C09FA5" w14:textId="77777777" w:rsidR="00A22EB5" w:rsidRPr="00E02CCA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7A4E79" w14:textId="1457DAE0" w:rsidR="00E02CCA" w:rsidRPr="008750DB" w:rsidRDefault="00E02CCA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CC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Defensoria Pública d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>o Estado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Minas Gerais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 xml:space="preserve"> tomou conhecimento de que </w:t>
      </w:r>
      <w:r w:rsidR="00086530">
        <w:rPr>
          <w:rFonts w:ascii="Times New Roman" w:hAnsi="Times New Roman" w:cs="Times New Roman"/>
          <w:color w:val="000000"/>
          <w:sz w:val="24"/>
          <w:szCs w:val="24"/>
        </w:rPr>
        <w:t>estão sendo dadas orientações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 xml:space="preserve"> à rede de atenção socioeducativa para que </w:t>
      </w:r>
      <w:r w:rsidR="00917DB7">
        <w:rPr>
          <w:rFonts w:ascii="Times New Roman" w:hAnsi="Times New Roman" w:cs="Times New Roman"/>
          <w:color w:val="000000"/>
          <w:sz w:val="24"/>
          <w:szCs w:val="24"/>
        </w:rPr>
        <w:t xml:space="preserve">adolescentes transgênero 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 xml:space="preserve">não sejam </w:t>
      </w:r>
      <w:r w:rsidR="00917DB7">
        <w:rPr>
          <w:rFonts w:ascii="Times New Roman" w:hAnsi="Times New Roman" w:cs="Times New Roman"/>
          <w:color w:val="000000"/>
          <w:sz w:val="24"/>
          <w:szCs w:val="24"/>
        </w:rPr>
        <w:t xml:space="preserve">encaminhados para atendimento no Ambulatório de Saúde de </w:t>
      </w:r>
      <w:r w:rsidR="00917DB7">
        <w:rPr>
          <w:rFonts w:ascii="Times New Roman" w:hAnsi="Times New Roman" w:cs="Times New Roman"/>
          <w:color w:val="000000"/>
          <w:sz w:val="24"/>
          <w:szCs w:val="24"/>
        </w:rPr>
        <w:lastRenderedPageBreak/>
        <w:t>Adolescentes do Hospital João Paulo II,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DB7">
        <w:rPr>
          <w:rFonts w:ascii="Times New Roman" w:hAnsi="Times New Roman" w:cs="Times New Roman"/>
          <w:color w:val="000000"/>
          <w:sz w:val="24"/>
          <w:szCs w:val="24"/>
        </w:rPr>
        <w:t>desrespeitando os termos da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DB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 xml:space="preserve">esolução </w:t>
      </w:r>
      <w:r w:rsidR="00917DB7">
        <w:rPr>
          <w:rFonts w:ascii="Times New Roman" w:hAnsi="Times New Roman" w:cs="Times New Roman"/>
          <w:color w:val="000000"/>
          <w:sz w:val="24"/>
          <w:szCs w:val="24"/>
        </w:rPr>
        <w:t xml:space="preserve">n. 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>18/2018 d</w:t>
      </w:r>
      <w:r w:rsidR="00F4244E">
        <w:rPr>
          <w:rFonts w:ascii="Times New Roman" w:hAnsi="Times New Roman" w:cs="Times New Roman"/>
          <w:color w:val="000000"/>
          <w:sz w:val="24"/>
          <w:szCs w:val="24"/>
        </w:rPr>
        <w:t>a SESP/MG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>. Também chegou a</w:t>
      </w:r>
      <w:r w:rsidR="00FA1E1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 xml:space="preserve"> conhecimento</w:t>
      </w:r>
      <w:r w:rsidR="00917DB7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693BE4">
        <w:rPr>
          <w:rFonts w:ascii="Times New Roman" w:hAnsi="Times New Roman" w:cs="Times New Roman"/>
          <w:color w:val="000000"/>
          <w:sz w:val="24"/>
          <w:szCs w:val="24"/>
        </w:rPr>
        <w:t xml:space="preserve">esta </w:t>
      </w:r>
      <w:r w:rsidR="00917DB7">
        <w:rPr>
          <w:rFonts w:ascii="Times New Roman" w:hAnsi="Times New Roman" w:cs="Times New Roman"/>
          <w:color w:val="000000"/>
          <w:sz w:val="24"/>
          <w:szCs w:val="24"/>
        </w:rPr>
        <w:t>instituição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DB7">
        <w:rPr>
          <w:rFonts w:ascii="Times New Roman" w:hAnsi="Times New Roman" w:cs="Times New Roman"/>
          <w:color w:val="000000"/>
          <w:sz w:val="24"/>
          <w:szCs w:val="24"/>
        </w:rPr>
        <w:t>a instauração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 xml:space="preserve"> do procedimento judicial</w:t>
      </w:r>
      <w:r w:rsidR="00B100C3">
        <w:rPr>
          <w:rFonts w:ascii="Times New Roman" w:hAnsi="Times New Roman" w:cs="Times New Roman"/>
          <w:color w:val="000000"/>
          <w:sz w:val="24"/>
          <w:szCs w:val="24"/>
        </w:rPr>
        <w:t xml:space="preserve"> de número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3BE4">
        <w:rPr>
          <w:rFonts w:ascii="Times New Roman" w:hAnsi="Times New Roman" w:cs="Times New Roman"/>
          <w:color w:val="000000"/>
          <w:sz w:val="24"/>
          <w:szCs w:val="24"/>
        </w:rPr>
        <w:t xml:space="preserve">0207989-95.2022.8.13.0024, pelo Juízo da Vara Infracional da Infância e da Juventude de Belo Horizonte, 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 xml:space="preserve">para apuração </w:t>
      </w:r>
      <w:r w:rsidR="00693BE4">
        <w:rPr>
          <w:rFonts w:ascii="Times New Roman" w:hAnsi="Times New Roman" w:cs="Times New Roman"/>
          <w:color w:val="000000"/>
          <w:sz w:val="24"/>
          <w:szCs w:val="24"/>
        </w:rPr>
        <w:t>do caso e das possíveis irregularidades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93BE4">
        <w:rPr>
          <w:rFonts w:ascii="Times New Roman" w:hAnsi="Times New Roman" w:cs="Times New Roman"/>
          <w:color w:val="000000"/>
          <w:sz w:val="24"/>
          <w:szCs w:val="24"/>
        </w:rPr>
        <w:t xml:space="preserve"> reportando-se a episódios de violência psicológica contra adolescentes </w:t>
      </w:r>
      <w:proofErr w:type="spellStart"/>
      <w:r w:rsidR="00693BE4">
        <w:rPr>
          <w:rFonts w:ascii="Times New Roman" w:hAnsi="Times New Roman" w:cs="Times New Roman"/>
          <w:color w:val="000000"/>
          <w:sz w:val="24"/>
          <w:szCs w:val="24"/>
        </w:rPr>
        <w:t>travestigêneres</w:t>
      </w:r>
      <w:proofErr w:type="spellEnd"/>
      <w:r w:rsidR="00693B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3BE4">
        <w:rPr>
          <w:rFonts w:ascii="Times New Roman" w:hAnsi="Times New Roman" w:cs="Times New Roman"/>
          <w:color w:val="000000"/>
          <w:sz w:val="24"/>
          <w:szCs w:val="24"/>
        </w:rPr>
        <w:t>Em referida Portaria Inicial,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 xml:space="preserve"> foi determinada</w:t>
      </w:r>
      <w:r w:rsidR="00693BE4">
        <w:rPr>
          <w:rFonts w:ascii="Times New Roman" w:hAnsi="Times New Roman" w:cs="Times New Roman"/>
          <w:color w:val="000000"/>
          <w:sz w:val="24"/>
          <w:szCs w:val="24"/>
        </w:rPr>
        <w:t>, ainda,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 xml:space="preserve"> a construção de um Plano de Combate à Transfobia e a imediata cessação de quaisquer atos que importem </w:t>
      </w:r>
      <w:r w:rsidR="00693BE4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>violação d</w:t>
      </w:r>
      <w:r w:rsidR="00693BE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 xml:space="preserve"> direitos </w:t>
      </w:r>
      <w:r w:rsidR="00693BE4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 xml:space="preserve"> adolescentes trans que estejam em cumprimento de medidas socioeducativas de internação ou semiliberdade no </w:t>
      </w:r>
      <w:r w:rsidR="00693BE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>stado</w:t>
      </w:r>
      <w:r w:rsidR="00693BE4">
        <w:rPr>
          <w:rFonts w:ascii="Times New Roman" w:hAnsi="Times New Roman" w:cs="Times New Roman"/>
          <w:color w:val="000000"/>
          <w:sz w:val="24"/>
          <w:szCs w:val="24"/>
        </w:rPr>
        <w:t>, especialmente quanto à garantia de autodeclaração de identidade de gênero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>. Por fim, também chegou ao conhecimento de</w:t>
      </w:r>
      <w:r w:rsidR="00145975">
        <w:rPr>
          <w:rFonts w:ascii="Times New Roman" w:hAnsi="Times New Roman" w:cs="Times New Roman"/>
          <w:color w:val="000000"/>
          <w:sz w:val="24"/>
          <w:szCs w:val="24"/>
        </w:rPr>
        <w:t>stas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3BE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>oorde</w:t>
      </w:r>
      <w:r w:rsidR="00145975">
        <w:rPr>
          <w:rFonts w:ascii="Times New Roman" w:hAnsi="Times New Roman" w:cs="Times New Roman"/>
          <w:color w:val="000000"/>
          <w:sz w:val="24"/>
          <w:szCs w:val="24"/>
        </w:rPr>
        <w:t>nadorias de Atuação Estratégica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 xml:space="preserve"> que uma </w:t>
      </w:r>
      <w:r w:rsidR="008750DB" w:rsidRPr="008750DB">
        <w:rPr>
          <w:rFonts w:ascii="Times New Roman" w:hAnsi="Times New Roman" w:cs="Times New Roman"/>
          <w:color w:val="000000"/>
          <w:sz w:val="24"/>
          <w:szCs w:val="24"/>
        </w:rPr>
        <w:t>adolescente t</w:t>
      </w:r>
      <w:r w:rsidR="00693BE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750DB" w:rsidRPr="008750DB">
        <w:rPr>
          <w:rFonts w:ascii="Times New Roman" w:hAnsi="Times New Roman" w:cs="Times New Roman"/>
          <w:color w:val="000000"/>
          <w:sz w:val="24"/>
          <w:szCs w:val="24"/>
        </w:rPr>
        <w:t>m sofrido transfobia, de modo reiterado, na unidade socioeducativa em que se encontra.</w:t>
      </w:r>
    </w:p>
    <w:p w14:paraId="5DDD79E6" w14:textId="77777777" w:rsidR="00C73AD6" w:rsidRPr="008750DB" w:rsidRDefault="00C73AD6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99EE3" w14:textId="77777777" w:rsidR="00A22EB5" w:rsidRPr="008750DB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0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ENVOLVIDOS</w:t>
      </w:r>
      <w:r w:rsidRPr="008750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C15BAE" w14:textId="77777777" w:rsidR="00A22EB5" w:rsidRPr="008750DB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3BB40" w14:textId="77777777" w:rsidR="008750DB" w:rsidRPr="008750DB" w:rsidRDefault="008750DB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0DB">
        <w:rPr>
          <w:rFonts w:ascii="Times New Roman" w:hAnsi="Times New Roman" w:cs="Times New Roman"/>
          <w:color w:val="000000"/>
          <w:sz w:val="24"/>
          <w:szCs w:val="24"/>
        </w:rPr>
        <w:t>1. Governo do Estado de Minas Gerais</w:t>
      </w:r>
    </w:p>
    <w:p w14:paraId="2F835ED1" w14:textId="6D0FB499" w:rsidR="008750DB" w:rsidRPr="008750DB" w:rsidRDefault="008750DB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0DB">
        <w:rPr>
          <w:rFonts w:ascii="Times New Roman" w:hAnsi="Times New Roman" w:cs="Times New Roman"/>
          <w:color w:val="000000"/>
          <w:sz w:val="24"/>
          <w:szCs w:val="24"/>
        </w:rPr>
        <w:t xml:space="preserve">2. Secretaria de Estado de Justiça e </w:t>
      </w:r>
      <w:r w:rsidR="00145975">
        <w:rPr>
          <w:rFonts w:ascii="Times New Roman" w:hAnsi="Times New Roman" w:cs="Times New Roman"/>
          <w:color w:val="000000"/>
          <w:sz w:val="24"/>
          <w:szCs w:val="24"/>
        </w:rPr>
        <w:t>Segurança Pública - SEJUSP</w:t>
      </w:r>
    </w:p>
    <w:p w14:paraId="5DD94639" w14:textId="3F376173" w:rsidR="008750DB" w:rsidRPr="008750DB" w:rsidRDefault="008750DB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0DB">
        <w:rPr>
          <w:rFonts w:ascii="Times New Roman" w:hAnsi="Times New Roman" w:cs="Times New Roman"/>
          <w:color w:val="000000"/>
          <w:sz w:val="24"/>
          <w:szCs w:val="24"/>
        </w:rPr>
        <w:t xml:space="preserve">3. Subsecretaria de Atendimento Socioeducativo </w:t>
      </w:r>
      <w:r w:rsidR="00145975">
        <w:rPr>
          <w:rFonts w:ascii="Times New Roman" w:hAnsi="Times New Roman" w:cs="Times New Roman"/>
          <w:color w:val="000000"/>
          <w:sz w:val="24"/>
          <w:szCs w:val="24"/>
        </w:rPr>
        <w:t>- SUASE</w:t>
      </w:r>
    </w:p>
    <w:p w14:paraId="118A1E9A" w14:textId="77777777" w:rsidR="0041228A" w:rsidRDefault="0041228A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7EC7" w14:textId="265E2FF8" w:rsidR="00851D40" w:rsidRPr="00C913B4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</w:t>
      </w:r>
      <w:r w:rsidR="00867538" w:rsidRPr="00867538">
        <w:rPr>
          <w:rFonts w:ascii="Times New Roman" w:hAnsi="Times New Roman" w:cs="Times New Roman"/>
          <w:sz w:val="24"/>
          <w:szCs w:val="24"/>
        </w:rPr>
        <w:t>na forma dos art. 5º, inciso LXXIV, e art. 134, da Constituição da República Federativa do Brasil de 1988 (CRFB/1988)</w:t>
      </w:r>
      <w:r w:rsidR="00867538"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sz w:val="24"/>
          <w:szCs w:val="24"/>
        </w:rPr>
        <w:t>e do art</w:t>
      </w:r>
      <w:r w:rsidR="00EC7C26"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7F5A921D" w14:textId="77777777" w:rsidR="00B066D7" w:rsidRPr="00C913B4" w:rsidRDefault="00B066D7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98F75" w14:textId="01F5311E" w:rsidR="0041228A" w:rsidRPr="0087780D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867538" w:rsidRPr="0041228A">
        <w:rPr>
          <w:rFonts w:ascii="Times New Roman" w:hAnsi="Times New Roman" w:cs="Times New Roman"/>
          <w:sz w:val="24"/>
          <w:szCs w:val="24"/>
        </w:rPr>
        <w:t xml:space="preserve">que é dever do Estado dar efetividade aos princípios constitucionais da </w:t>
      </w:r>
      <w:r w:rsidR="00867538" w:rsidRPr="00B31C6E">
        <w:rPr>
          <w:rFonts w:ascii="Times New Roman" w:hAnsi="Times New Roman" w:cs="Times New Roman"/>
          <w:b/>
          <w:bCs/>
          <w:sz w:val="24"/>
          <w:szCs w:val="24"/>
        </w:rPr>
        <w:t>cidadania</w:t>
      </w:r>
      <w:r w:rsidR="00867538" w:rsidRPr="0041228A">
        <w:rPr>
          <w:rFonts w:ascii="Times New Roman" w:hAnsi="Times New Roman" w:cs="Times New Roman"/>
          <w:sz w:val="24"/>
          <w:szCs w:val="24"/>
        </w:rPr>
        <w:t xml:space="preserve"> e da </w:t>
      </w:r>
      <w:r w:rsidR="00867538" w:rsidRPr="00B31C6E">
        <w:rPr>
          <w:rFonts w:ascii="Times New Roman" w:hAnsi="Times New Roman" w:cs="Times New Roman"/>
          <w:b/>
          <w:bCs/>
          <w:sz w:val="24"/>
          <w:szCs w:val="24"/>
        </w:rPr>
        <w:t>dignidade da pessoa humana</w:t>
      </w:r>
      <w:r w:rsidR="00867538" w:rsidRPr="0041228A">
        <w:rPr>
          <w:rFonts w:ascii="Times New Roman" w:hAnsi="Times New Roman" w:cs="Times New Roman"/>
          <w:sz w:val="24"/>
          <w:szCs w:val="24"/>
        </w:rPr>
        <w:t xml:space="preserve">, bem como cumprir </w:t>
      </w:r>
      <w:r w:rsidR="00867538" w:rsidRPr="0041228A">
        <w:rPr>
          <w:rFonts w:ascii="Times New Roman" w:hAnsi="Times New Roman" w:cs="Times New Roman"/>
          <w:sz w:val="24"/>
          <w:szCs w:val="24"/>
        </w:rPr>
        <w:lastRenderedPageBreak/>
        <w:t xml:space="preserve">com seus objetivos fundamentais de </w:t>
      </w:r>
      <w:r w:rsidR="00867538" w:rsidRPr="009B552A">
        <w:rPr>
          <w:rFonts w:ascii="Times New Roman" w:hAnsi="Times New Roman" w:cs="Times New Roman"/>
          <w:b/>
          <w:bCs/>
          <w:sz w:val="24"/>
          <w:szCs w:val="24"/>
        </w:rPr>
        <w:t>construir uma sociedade livre, justa e solidária</w:t>
      </w:r>
      <w:r w:rsidR="00867538" w:rsidRPr="0041228A">
        <w:rPr>
          <w:rFonts w:ascii="Times New Roman" w:hAnsi="Times New Roman" w:cs="Times New Roman"/>
          <w:sz w:val="24"/>
          <w:szCs w:val="24"/>
        </w:rPr>
        <w:t xml:space="preserve">, além de </w:t>
      </w:r>
      <w:r w:rsidR="00867538" w:rsidRPr="009B552A">
        <w:rPr>
          <w:rFonts w:ascii="Times New Roman" w:hAnsi="Times New Roman" w:cs="Times New Roman"/>
          <w:b/>
          <w:bCs/>
          <w:sz w:val="24"/>
          <w:szCs w:val="24"/>
        </w:rPr>
        <w:t>promover o bem de todos, sem preconceitos de raça, sexo ou quaisquer outras formas de discriminação</w:t>
      </w:r>
      <w:r w:rsidR="00867538" w:rsidRPr="0041228A">
        <w:rPr>
          <w:rFonts w:ascii="Times New Roman" w:hAnsi="Times New Roman" w:cs="Times New Roman"/>
          <w:sz w:val="24"/>
          <w:szCs w:val="24"/>
        </w:rPr>
        <w:t xml:space="preserve"> (art. 1º, incisos II e III, e art. 3º, incisos I e IV, da </w:t>
      </w:r>
      <w:r w:rsidR="00F7624F" w:rsidRPr="00867538">
        <w:rPr>
          <w:rFonts w:ascii="Times New Roman" w:hAnsi="Times New Roman" w:cs="Times New Roman"/>
          <w:sz w:val="24"/>
          <w:szCs w:val="24"/>
        </w:rPr>
        <w:t>Constituição da República Federativa do Brasil de 1988</w:t>
      </w:r>
      <w:r w:rsidR="00867538" w:rsidRPr="0041228A">
        <w:rPr>
          <w:rFonts w:ascii="Times New Roman" w:hAnsi="Times New Roman" w:cs="Times New Roman"/>
          <w:sz w:val="24"/>
          <w:szCs w:val="24"/>
        </w:rPr>
        <w:t>);</w:t>
      </w:r>
    </w:p>
    <w:p w14:paraId="2DAC194C" w14:textId="3E53554C" w:rsidR="00600187" w:rsidRPr="0087780D" w:rsidRDefault="00600187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4EE29" w14:textId="1524FF52" w:rsidR="00A47607" w:rsidRPr="009B552A" w:rsidRDefault="00A47607" w:rsidP="00A4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constitui dever da família, da sociedade e do Estado assegurar à criança, adolescente e jovem, com absoluta prioridade, o direito à vida, à saúde, à educação, à dignidade, ao respeito é à liberdade, além de </w:t>
      </w:r>
      <w:r w:rsidRPr="009B552A">
        <w:rPr>
          <w:rFonts w:ascii="Times New Roman" w:hAnsi="Times New Roman" w:cs="Times New Roman"/>
          <w:b/>
          <w:bCs/>
          <w:sz w:val="24"/>
          <w:szCs w:val="24"/>
        </w:rPr>
        <w:t>colocá-los a salvo de toda forma de negligência, discriminação, exploração, violência, crueldade e opressão</w:t>
      </w:r>
      <w:r w:rsidRPr="009B552A">
        <w:rPr>
          <w:rFonts w:ascii="Times New Roman" w:hAnsi="Times New Roman" w:cs="Times New Roman"/>
          <w:sz w:val="24"/>
          <w:szCs w:val="24"/>
        </w:rPr>
        <w:t xml:space="preserve">, nos moldes do art. 227, da Constituição da República Federativa do Brasil </w:t>
      </w:r>
      <w:r w:rsidR="00F7624F">
        <w:rPr>
          <w:rFonts w:ascii="Times New Roman" w:hAnsi="Times New Roman" w:cs="Times New Roman"/>
          <w:sz w:val="24"/>
          <w:szCs w:val="24"/>
        </w:rPr>
        <w:t xml:space="preserve">de </w:t>
      </w:r>
      <w:r w:rsidRPr="009B552A">
        <w:rPr>
          <w:rFonts w:ascii="Times New Roman" w:hAnsi="Times New Roman" w:cs="Times New Roman"/>
          <w:sz w:val="24"/>
          <w:szCs w:val="24"/>
        </w:rPr>
        <w:t>1988);</w:t>
      </w:r>
    </w:p>
    <w:p w14:paraId="66B2FFC4" w14:textId="7C0AE7F4" w:rsidR="00867538" w:rsidRDefault="00867538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5E682" w14:textId="77777777" w:rsidR="00867538" w:rsidRDefault="00867538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a Lei 8.069 (Estatuto da Criança e do Adolescente - ECA), nos moldes de seus artigos 1º e 3º, estatui a doutrina da proteção integral, atribuindo às crianças e adolescentes a condição de sujeitos de direito, titulares de todas garantias fundamentais inerentes à pessoa humana, a fim de lhes permitir o </w:t>
      </w:r>
      <w:r w:rsidRPr="009B552A">
        <w:rPr>
          <w:rFonts w:ascii="Times New Roman" w:hAnsi="Times New Roman" w:cs="Times New Roman"/>
          <w:b/>
          <w:sz w:val="24"/>
          <w:szCs w:val="24"/>
        </w:rPr>
        <w:t>pleno desenvolvimento físico, mental, moral, espiritual e social, em condições de liberdade e de dignidade</w:t>
      </w:r>
      <w:r w:rsidRPr="005F6685">
        <w:rPr>
          <w:rFonts w:ascii="Times New Roman" w:hAnsi="Times New Roman" w:cs="Times New Roman"/>
          <w:bCs/>
          <w:sz w:val="24"/>
          <w:szCs w:val="24"/>
        </w:rPr>
        <w:t>;</w:t>
      </w:r>
    </w:p>
    <w:p w14:paraId="0A1C1673" w14:textId="2317E0F3" w:rsidR="00867538" w:rsidRDefault="00867538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D8073" w14:textId="48A1E189" w:rsidR="00B11827" w:rsidRDefault="00B11827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4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7624F">
        <w:rPr>
          <w:rFonts w:ascii="Times New Roman" w:hAnsi="Times New Roman" w:cs="Times New Roman"/>
          <w:sz w:val="24"/>
          <w:szCs w:val="24"/>
        </w:rPr>
        <w:t xml:space="preserve"> </w:t>
      </w:r>
      <w:r w:rsidR="00F7624F">
        <w:rPr>
          <w:rFonts w:ascii="Times New Roman" w:hAnsi="Times New Roman" w:cs="Times New Roman"/>
          <w:sz w:val="24"/>
          <w:szCs w:val="24"/>
        </w:rPr>
        <w:t>que é</w:t>
      </w:r>
      <w:r w:rsidRPr="00F7624F">
        <w:rPr>
          <w:rFonts w:ascii="Times New Roman" w:hAnsi="Times New Roman" w:cs="Times New Roman"/>
          <w:sz w:val="24"/>
          <w:szCs w:val="24"/>
        </w:rPr>
        <w:t xml:space="preserve"> função institucional da Defensoria Pública atuar nos estabelecimentos policiais, penitenciários e </w:t>
      </w:r>
      <w:r w:rsidRPr="00F7624F">
        <w:rPr>
          <w:rFonts w:ascii="Times New Roman" w:hAnsi="Times New Roman" w:cs="Times New Roman"/>
          <w:b/>
          <w:bCs/>
          <w:sz w:val="24"/>
          <w:szCs w:val="24"/>
        </w:rPr>
        <w:t>de internação de adolescentes, visando a assegurar às pessoas, sob quaisquer circunstâncias, o exercício pleno de seus direitos e garantias fundamentais</w:t>
      </w:r>
      <w:r w:rsidRPr="00F7624F">
        <w:rPr>
          <w:rFonts w:ascii="Times New Roman" w:hAnsi="Times New Roman" w:cs="Times New Roman"/>
          <w:sz w:val="24"/>
          <w:szCs w:val="24"/>
        </w:rPr>
        <w:t xml:space="preserve"> (artigo 4º, </w:t>
      </w:r>
      <w:r w:rsidR="00F7624F">
        <w:rPr>
          <w:rFonts w:ascii="Times New Roman" w:hAnsi="Times New Roman" w:cs="Times New Roman"/>
          <w:sz w:val="24"/>
          <w:szCs w:val="24"/>
        </w:rPr>
        <w:t xml:space="preserve">inciso </w:t>
      </w:r>
      <w:r w:rsidRPr="00F7624F">
        <w:rPr>
          <w:rFonts w:ascii="Times New Roman" w:hAnsi="Times New Roman" w:cs="Times New Roman"/>
          <w:sz w:val="24"/>
          <w:szCs w:val="24"/>
        </w:rPr>
        <w:t>XVII,</w:t>
      </w:r>
      <w:r w:rsidR="00F7624F">
        <w:rPr>
          <w:rFonts w:ascii="Times New Roman" w:hAnsi="Times New Roman" w:cs="Times New Roman"/>
          <w:sz w:val="24"/>
          <w:szCs w:val="24"/>
        </w:rPr>
        <w:t xml:space="preserve"> da</w:t>
      </w:r>
      <w:r w:rsidRPr="00F7624F">
        <w:rPr>
          <w:rFonts w:ascii="Times New Roman" w:hAnsi="Times New Roman" w:cs="Times New Roman"/>
          <w:sz w:val="24"/>
          <w:szCs w:val="24"/>
        </w:rPr>
        <w:t xml:space="preserve"> Lei Complementar Federal n.º 80/1994);</w:t>
      </w:r>
    </w:p>
    <w:p w14:paraId="62B9AA79" w14:textId="77777777" w:rsidR="00B11827" w:rsidRDefault="00B11827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C9540" w14:textId="4C4A9BB6" w:rsidR="009B552A" w:rsidRDefault="009B552A" w:rsidP="009B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é função institucional da Defensoria Pública atuar na promoção, </w:t>
      </w:r>
      <w:r w:rsidRPr="009B552A">
        <w:rPr>
          <w:rFonts w:ascii="Times New Roman" w:hAnsi="Times New Roman" w:cs="Times New Roman"/>
          <w:b/>
          <w:bCs/>
          <w:sz w:val="24"/>
          <w:szCs w:val="24"/>
        </w:rPr>
        <w:t>proteção e defesa dos direitos das crianças e adolescentes</w:t>
      </w:r>
      <w:r w:rsidRPr="009B552A">
        <w:rPr>
          <w:rFonts w:ascii="Times New Roman" w:hAnsi="Times New Roman" w:cs="Times New Roman"/>
          <w:sz w:val="24"/>
          <w:szCs w:val="24"/>
        </w:rPr>
        <w:t>, sendo assegurado a estes sujeitos em desenvolvimento o acesso aos serviços de assistência e orientação jurídica integral e gratuita, prestados pela instituição, nos moldes do art. 70-A, inciso II, e art. 141, ambos da Lei 8.069 (Estatuto da Criança e do Adolescente);</w:t>
      </w:r>
    </w:p>
    <w:p w14:paraId="65447446" w14:textId="0E2D957F" w:rsidR="0098681C" w:rsidRDefault="0098681C" w:rsidP="009B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CEA7A" w14:textId="44256641" w:rsidR="0098681C" w:rsidRDefault="0098681C" w:rsidP="009B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CONSIDERANDO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Lei 12.594, responsável por instituir o Sistema Nacional de Atendimento Socioeducativo (SINASE), estabelece</w:t>
      </w:r>
      <w:r w:rsidR="00D94E3B">
        <w:rPr>
          <w:rFonts w:ascii="Times New Roman" w:hAnsi="Times New Roman" w:cs="Times New Roman"/>
          <w:color w:val="000000"/>
          <w:sz w:val="24"/>
          <w:szCs w:val="24"/>
        </w:rPr>
        <w:t xml:space="preserve">, em seu art. 60,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dever estatal de </w:t>
      </w:r>
      <w:r w:rsidRPr="00D94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prestação de serviços de atenção integral à saúde de adolescentes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 cumprimento de medida, prevendo, como diretrizes, </w:t>
      </w:r>
      <w:r w:rsidRPr="0098681C">
        <w:rPr>
          <w:rFonts w:ascii="Times New Roman" w:hAnsi="Times New Roman" w:cs="Times New Roman"/>
          <w:color w:val="000000"/>
          <w:sz w:val="24"/>
          <w:szCs w:val="24"/>
        </w:rPr>
        <w:t xml:space="preserve">a implantação de ações de promoção da saúde, </w:t>
      </w:r>
      <w:r w:rsidR="00D94E3B">
        <w:rPr>
          <w:rFonts w:ascii="Times New Roman" w:hAnsi="Times New Roman" w:cs="Times New Roman"/>
          <w:color w:val="000000"/>
          <w:sz w:val="24"/>
          <w:szCs w:val="24"/>
        </w:rPr>
        <w:t xml:space="preserve">com </w:t>
      </w:r>
      <w:r w:rsidR="00D94E3B" w:rsidRPr="00D94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estímulo</w:t>
      </w:r>
      <w:r w:rsidRPr="00D94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94E3B" w:rsidRPr="00D94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à</w:t>
      </w:r>
      <w:r w:rsidRPr="00D94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autonomia, </w:t>
      </w:r>
      <w:r w:rsidR="00D94E3B" w:rsidRPr="00D94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à</w:t>
      </w:r>
      <w:r w:rsidRPr="00D94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melhoria das relações interpessoais</w:t>
      </w:r>
      <w:r w:rsidRPr="0098681C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D94E3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98681C">
        <w:rPr>
          <w:rFonts w:ascii="Times New Roman" w:hAnsi="Times New Roman" w:cs="Times New Roman"/>
          <w:color w:val="000000"/>
          <w:sz w:val="24"/>
          <w:szCs w:val="24"/>
        </w:rPr>
        <w:t>o fortalecimento de redes de apoio aos adolescentes e suas famílias</w:t>
      </w:r>
      <w:r w:rsidR="00D94E3B">
        <w:rPr>
          <w:rFonts w:ascii="Times New Roman" w:hAnsi="Times New Roman" w:cs="Times New Roman"/>
          <w:color w:val="000000"/>
          <w:sz w:val="24"/>
          <w:szCs w:val="24"/>
        </w:rPr>
        <w:t xml:space="preserve">, bem como a garantia de acesso a </w:t>
      </w:r>
      <w:r w:rsidR="00D94E3B" w:rsidRPr="00D94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todos os níveis de atenção à saúde, por meio do Sistema Único de Saúde</w:t>
      </w:r>
      <w:r w:rsidR="00D94E3B">
        <w:rPr>
          <w:rFonts w:ascii="Times New Roman" w:hAnsi="Times New Roman" w:cs="Times New Roman"/>
          <w:color w:val="000000"/>
          <w:sz w:val="24"/>
          <w:szCs w:val="24"/>
        </w:rPr>
        <w:t xml:space="preserve"> (SUS)</w:t>
      </w:r>
      <w:r w:rsidRPr="0098681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AC1980" w14:textId="77777777" w:rsidR="00570E7F" w:rsidRPr="009B552A" w:rsidRDefault="00570E7F" w:rsidP="009B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B0C4A" w14:textId="707759A5" w:rsid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CONSIDERANDO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que o Supremo Tribunal Federal (STF), no julgamento da Ação de Direta de Inconstitucionalidade por Omissão </w:t>
      </w:r>
      <w:r w:rsidR="00D26AAA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ADO 26 e do Mandado de Injunção </w:t>
      </w:r>
      <w:r w:rsidR="00D26AAA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MI 4733, reconheceu a inércia do Poder Legislativo em cumprir o mandado constitucional de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criminalização de atos atentatórias contra direitos fundamentais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(definidos no art. 5º, incisos XLI e XLII, da CRFB/88), no que toca às práticas de LGBTfobia, decidindo, portanto,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suprir a omissão estatal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e, enquanto não houver a elaboração de leis protetivas sobre o assunto, deu tratamento às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condutas homofóbicas e transfóbicas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como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equiparadas a crime de racismo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definid</w:t>
      </w:r>
      <w:r w:rsidR="00D26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pela Lei 7.716/1989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B6F140" w14:textId="3EA186F8" w:rsidR="008236C9" w:rsidRDefault="008236C9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7187CF" w14:textId="77777777" w:rsidR="008236C9" w:rsidRPr="00D26AAA" w:rsidRDefault="008236C9" w:rsidP="00823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26AAA">
        <w:rPr>
          <w:rFonts w:ascii="Times New Roman" w:hAnsi="Times New Roman" w:cs="Times New Roman"/>
          <w:sz w:val="24"/>
          <w:szCs w:val="24"/>
        </w:rPr>
        <w:t xml:space="preserve"> que “sexo” é a condição física e biológica da pessoa, determinada pela morfologia corporal e pelo aparelho reprodutor, enquanto que “</w:t>
      </w:r>
      <w:r w:rsidRPr="00D26AAA">
        <w:rPr>
          <w:rFonts w:ascii="Times New Roman" w:hAnsi="Times New Roman" w:cs="Times New Roman"/>
          <w:b/>
          <w:bCs/>
          <w:sz w:val="24"/>
          <w:szCs w:val="24"/>
        </w:rPr>
        <w:t>gênero</w:t>
      </w:r>
      <w:r w:rsidRPr="00D26AAA">
        <w:rPr>
          <w:rFonts w:ascii="Times New Roman" w:hAnsi="Times New Roman" w:cs="Times New Roman"/>
          <w:sz w:val="24"/>
          <w:szCs w:val="24"/>
        </w:rPr>
        <w:t xml:space="preserve">” é a </w:t>
      </w:r>
      <w:r w:rsidRPr="00D26AAA">
        <w:rPr>
          <w:rFonts w:ascii="Times New Roman" w:hAnsi="Times New Roman" w:cs="Times New Roman"/>
          <w:b/>
          <w:bCs/>
          <w:sz w:val="24"/>
          <w:szCs w:val="24"/>
        </w:rPr>
        <w:t>construção cultural que define papéis sociais</w:t>
      </w:r>
      <w:r w:rsidRPr="00D26AAA">
        <w:rPr>
          <w:rFonts w:ascii="Times New Roman" w:hAnsi="Times New Roman" w:cs="Times New Roman"/>
          <w:sz w:val="24"/>
          <w:szCs w:val="24"/>
        </w:rPr>
        <w:t xml:space="preserve"> e </w:t>
      </w:r>
      <w:r w:rsidRPr="00D26AAA">
        <w:rPr>
          <w:rFonts w:ascii="Times New Roman" w:hAnsi="Times New Roman" w:cs="Times New Roman"/>
          <w:b/>
          <w:bCs/>
          <w:sz w:val="24"/>
          <w:szCs w:val="24"/>
        </w:rPr>
        <w:t>padrões comportamentais</w:t>
      </w:r>
      <w:r w:rsidRPr="00D26AAA">
        <w:rPr>
          <w:rFonts w:ascii="Times New Roman" w:hAnsi="Times New Roman" w:cs="Times New Roman"/>
          <w:sz w:val="24"/>
          <w:szCs w:val="24"/>
        </w:rPr>
        <w:t xml:space="preserve"> do que se entende por “masculino” e “feminino”, tratando-se de uma </w:t>
      </w:r>
      <w:r w:rsidRPr="00D26AAA">
        <w:rPr>
          <w:rFonts w:ascii="Times New Roman" w:hAnsi="Times New Roman" w:cs="Times New Roman"/>
          <w:b/>
          <w:bCs/>
          <w:sz w:val="24"/>
          <w:szCs w:val="24"/>
        </w:rPr>
        <w:t>questão identitária</w:t>
      </w:r>
      <w:r w:rsidRPr="00D26AAA">
        <w:rPr>
          <w:rFonts w:ascii="Times New Roman" w:hAnsi="Times New Roman" w:cs="Times New Roman"/>
          <w:sz w:val="24"/>
          <w:szCs w:val="24"/>
        </w:rPr>
        <w:t xml:space="preserve"> e de livre desenvolvimento da personalidade, podendo corresponder ou não às características sexuais definidas quando do nascimento;</w:t>
      </w:r>
    </w:p>
    <w:p w14:paraId="1773F116" w14:textId="77777777" w:rsidR="008236C9" w:rsidRPr="00232B0C" w:rsidRDefault="008236C9" w:rsidP="00823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55F48726" w14:textId="77777777" w:rsidR="008236C9" w:rsidRPr="00570E7F" w:rsidRDefault="008236C9" w:rsidP="008236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A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26AAA">
        <w:rPr>
          <w:rFonts w:ascii="Times New Roman" w:hAnsi="Times New Roman" w:cs="Times New Roman"/>
          <w:sz w:val="24"/>
          <w:szCs w:val="24"/>
        </w:rPr>
        <w:t xml:space="preserve"> que transexuais são pessoas cuja identidade de gênero, aparência e demais características como vestimentas e expressões corporais divergem da expectativa social atrelada ao sexo biológico, de modo que “</w:t>
      </w:r>
      <w:r w:rsidRPr="00D26AAA">
        <w:rPr>
          <w:rFonts w:ascii="Times New Roman" w:hAnsi="Times New Roman" w:cs="Times New Roman"/>
          <w:b/>
          <w:bCs/>
          <w:sz w:val="24"/>
          <w:szCs w:val="24"/>
        </w:rPr>
        <w:t>mulheres trans</w:t>
      </w:r>
      <w:r w:rsidRPr="00D26AAA">
        <w:rPr>
          <w:rFonts w:ascii="Times New Roman" w:hAnsi="Times New Roman" w:cs="Times New Roman"/>
          <w:sz w:val="24"/>
          <w:szCs w:val="24"/>
        </w:rPr>
        <w:t>” são aquelas que se identificam como mulheres, mas foram designadas ao sexo masculino quando nasceram, enquanto “</w:t>
      </w:r>
      <w:r w:rsidRPr="00D26AAA">
        <w:rPr>
          <w:rFonts w:ascii="Times New Roman" w:hAnsi="Times New Roman" w:cs="Times New Roman"/>
          <w:b/>
          <w:bCs/>
          <w:sz w:val="24"/>
          <w:szCs w:val="24"/>
        </w:rPr>
        <w:t>homens trans</w:t>
      </w:r>
      <w:r w:rsidRPr="00D26AAA">
        <w:rPr>
          <w:rFonts w:ascii="Times New Roman" w:hAnsi="Times New Roman" w:cs="Times New Roman"/>
          <w:sz w:val="24"/>
          <w:szCs w:val="24"/>
        </w:rPr>
        <w:t xml:space="preserve">” são aqueles se identificam como homens, </w:t>
      </w:r>
      <w:r w:rsidRPr="00D26AAA">
        <w:rPr>
          <w:rFonts w:ascii="Times New Roman" w:hAnsi="Times New Roman" w:cs="Times New Roman"/>
          <w:sz w:val="24"/>
          <w:szCs w:val="24"/>
        </w:rPr>
        <w:lastRenderedPageBreak/>
        <w:t>mas foram designados ao sexo feminino pelo nascimento, conforme definição do Movimento Livres &amp; Iguais, da Organização das Nações Unidas (ONU)</w:t>
      </w:r>
      <w:r w:rsidRPr="00D26AAA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D26AAA">
        <w:rPr>
          <w:rFonts w:ascii="Times New Roman" w:hAnsi="Times New Roman" w:cs="Times New Roman"/>
          <w:sz w:val="24"/>
          <w:szCs w:val="24"/>
        </w:rPr>
        <w:t>;</w:t>
      </w:r>
    </w:p>
    <w:p w14:paraId="69369D8D" w14:textId="6F470DF3" w:rsidR="000B4B29" w:rsidRDefault="000B4B29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5A8F1" w14:textId="6FE0B256" w:rsidR="000B4B29" w:rsidRPr="000B4B29" w:rsidRDefault="000B4B29" w:rsidP="000B4B2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6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CONSIDERANDO</w:t>
      </w:r>
      <w:r w:rsidRPr="00D26AA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Pr="00D26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vulnerabilidade</w:t>
      </w:r>
      <w:r w:rsidRPr="00D26AAA">
        <w:rPr>
          <w:rFonts w:ascii="Times New Roman" w:hAnsi="Times New Roman" w:cs="Times New Roman"/>
          <w:color w:val="000000"/>
          <w:sz w:val="24"/>
          <w:szCs w:val="24"/>
        </w:rPr>
        <w:t xml:space="preserve"> que atinge a </w:t>
      </w:r>
      <w:r w:rsidRPr="00D26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população LGBTI+</w:t>
      </w:r>
      <w:r w:rsidRPr="00D26AAA">
        <w:rPr>
          <w:rFonts w:ascii="Times New Roman" w:hAnsi="Times New Roman" w:cs="Times New Roman"/>
          <w:color w:val="000000"/>
          <w:sz w:val="24"/>
          <w:szCs w:val="24"/>
        </w:rPr>
        <w:t xml:space="preserve">, uma vez que </w:t>
      </w:r>
      <w:r w:rsidRPr="00D26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orientação sexual</w:t>
      </w:r>
      <w:r w:rsidRPr="00D26AAA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D26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identidade de gênero</w:t>
      </w:r>
      <w:r w:rsidRPr="00D26AAA">
        <w:rPr>
          <w:rFonts w:ascii="Times New Roman" w:hAnsi="Times New Roman" w:cs="Times New Roman"/>
          <w:color w:val="000000"/>
          <w:sz w:val="24"/>
          <w:szCs w:val="24"/>
        </w:rPr>
        <w:t xml:space="preserve"> divergentes dos </w:t>
      </w:r>
      <w:r w:rsidRPr="00D26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padrões heteronormativos e binários</w:t>
      </w:r>
      <w:r w:rsidRPr="00D26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6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são causas para a prática de discriminação e violações de direitos</w:t>
      </w:r>
      <w:r w:rsidRPr="00D26AAA">
        <w:rPr>
          <w:rFonts w:ascii="Times New Roman" w:hAnsi="Times New Roman" w:cs="Times New Roman"/>
          <w:color w:val="000000"/>
          <w:sz w:val="24"/>
          <w:szCs w:val="24"/>
        </w:rPr>
        <w:t xml:space="preserve">, ofensas que podem ser subdivididas em três níveis: a) violência interpessoal (atos de brutalidade individual); b) </w:t>
      </w:r>
      <w:r w:rsidRPr="00D26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violência simbólica</w:t>
      </w:r>
      <w:r w:rsidRPr="00D26AA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26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manifestações culturais de propagação de discursos de inferiorização da diversidade sexual e de gênero</w:t>
      </w:r>
      <w:r w:rsidRPr="00D26AAA">
        <w:rPr>
          <w:rFonts w:ascii="Times New Roman" w:hAnsi="Times New Roman" w:cs="Times New Roman"/>
          <w:color w:val="000000"/>
          <w:sz w:val="24"/>
          <w:szCs w:val="24"/>
        </w:rPr>
        <w:t xml:space="preserve">); e c) </w:t>
      </w:r>
      <w:r w:rsidRPr="00D26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violência institucional</w:t>
      </w:r>
      <w:r w:rsidRPr="00D26AA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26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práticas discriminatórias estatais, como a criminalização e a patologização de identidades destoantes da regra heteronormativa e </w:t>
      </w:r>
      <w:proofErr w:type="spellStart"/>
      <w:r w:rsidRPr="00D26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cisgênera</w:t>
      </w:r>
      <w:proofErr w:type="spellEnd"/>
      <w:r w:rsidRPr="00D26AA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26AAA"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D26AA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B4B2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B5F760E" w14:textId="77777777" w:rsidR="00C30D6E" w:rsidRDefault="00C30D6E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9BB039" w14:textId="50881DFE" w:rsidR="00B17688" w:rsidRP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CONSIDERANDO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que </w:t>
      </w:r>
      <w:r w:rsidR="000B4B29">
        <w:rPr>
          <w:rFonts w:ascii="Times New Roman" w:hAnsi="Times New Roman" w:cs="Times New Roman"/>
          <w:color w:val="000000"/>
          <w:sz w:val="24"/>
          <w:szCs w:val="24"/>
        </w:rPr>
        <w:t xml:space="preserve">tal vulnerabilidade, 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que atinge a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população LGBTQIA+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, especialmente no ambiente </w:t>
      </w:r>
      <w:r w:rsidR="008750DB">
        <w:rPr>
          <w:rFonts w:ascii="Times New Roman" w:hAnsi="Times New Roman" w:cs="Times New Roman"/>
          <w:color w:val="000000"/>
          <w:sz w:val="24"/>
          <w:szCs w:val="24"/>
        </w:rPr>
        <w:t>de privação de liberdade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, torna os membros de referida comunidade mais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suscetíveis a serem vítimas de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bullying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” e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demais tratamentos hostis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6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nas instituições </w:t>
      </w:r>
      <w:r w:rsidR="008750DB" w:rsidRPr="00D26A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socioeducativas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, fatores que </w:t>
      </w:r>
      <w:r w:rsidRPr="00B17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prejudicam o dese</w:t>
      </w:r>
      <w:r w:rsidR="008750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nvolvimento da medida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, tudo conforme dados</w:t>
      </w:r>
      <w:r w:rsidR="00457646">
        <w:rPr>
          <w:rFonts w:ascii="Times New Roman" w:hAnsi="Times New Roman" w:cs="Times New Roman"/>
          <w:color w:val="000000"/>
          <w:sz w:val="24"/>
          <w:szCs w:val="24"/>
        </w:rPr>
        <w:t xml:space="preserve"> colhidos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764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a “Pesquisa Nacional sobre o Ambiente Educacional no Brasil - 2016”</w:t>
      </w:r>
      <w:r w:rsidRPr="00B1768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 w:rsidRPr="00B1768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C46002" w14:textId="77777777" w:rsidR="00B17688" w:rsidRP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A41CBF" w14:textId="4DBB4E1A" w:rsidR="00B17688" w:rsidRPr="00457646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64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750DB" w:rsidRPr="00457646">
        <w:rPr>
          <w:rFonts w:ascii="Times New Roman" w:hAnsi="Times New Roman" w:cs="Times New Roman"/>
          <w:sz w:val="24"/>
          <w:szCs w:val="24"/>
        </w:rPr>
        <w:t xml:space="preserve"> que</w:t>
      </w:r>
      <w:r w:rsidR="00232B0C" w:rsidRPr="00457646">
        <w:rPr>
          <w:rFonts w:ascii="Times New Roman" w:hAnsi="Times New Roman" w:cs="Times New Roman"/>
          <w:sz w:val="24"/>
          <w:szCs w:val="24"/>
        </w:rPr>
        <w:t>, geralmente,</w:t>
      </w:r>
      <w:r w:rsidRPr="00457646">
        <w:rPr>
          <w:rFonts w:ascii="Times New Roman" w:hAnsi="Times New Roman" w:cs="Times New Roman"/>
          <w:sz w:val="24"/>
          <w:szCs w:val="24"/>
        </w:rPr>
        <w:t xml:space="preserve"> o </w:t>
      </w:r>
      <w:r w:rsidRPr="00E502F8">
        <w:rPr>
          <w:rFonts w:ascii="Times New Roman" w:hAnsi="Times New Roman" w:cs="Times New Roman"/>
          <w:sz w:val="24"/>
          <w:szCs w:val="24"/>
        </w:rPr>
        <w:t xml:space="preserve">ciclo de violências transfóbicas tem início no </w:t>
      </w:r>
      <w:r w:rsidR="00232B0C" w:rsidRPr="00E502F8">
        <w:rPr>
          <w:rFonts w:ascii="Times New Roman" w:hAnsi="Times New Roman" w:cs="Times New Roman"/>
          <w:sz w:val="24"/>
          <w:szCs w:val="24"/>
        </w:rPr>
        <w:t xml:space="preserve">próprio </w:t>
      </w:r>
      <w:r w:rsidRPr="00E502F8">
        <w:rPr>
          <w:rFonts w:ascii="Times New Roman" w:hAnsi="Times New Roman" w:cs="Times New Roman"/>
          <w:sz w:val="24"/>
          <w:szCs w:val="24"/>
        </w:rPr>
        <w:t>ambiente familiar</w:t>
      </w:r>
      <w:r w:rsidRPr="00457646">
        <w:rPr>
          <w:rFonts w:ascii="Times New Roman" w:hAnsi="Times New Roman" w:cs="Times New Roman"/>
          <w:sz w:val="24"/>
          <w:szCs w:val="24"/>
        </w:rPr>
        <w:t>,</w:t>
      </w:r>
      <w:r w:rsidR="008750DB" w:rsidRPr="00457646">
        <w:rPr>
          <w:rFonts w:ascii="Times New Roman" w:hAnsi="Times New Roman" w:cs="Times New Roman"/>
          <w:sz w:val="24"/>
          <w:szCs w:val="24"/>
        </w:rPr>
        <w:t xml:space="preserve"> mas é reproduzido, de modo sistêmico,</w:t>
      </w:r>
      <w:r w:rsidR="00457646" w:rsidRPr="00457646">
        <w:rPr>
          <w:rFonts w:ascii="Times New Roman" w:hAnsi="Times New Roman" w:cs="Times New Roman"/>
          <w:sz w:val="24"/>
          <w:szCs w:val="24"/>
        </w:rPr>
        <w:t xml:space="preserve"> inclusive</w:t>
      </w:r>
      <w:r w:rsidR="008750DB" w:rsidRPr="00457646">
        <w:rPr>
          <w:rFonts w:ascii="Times New Roman" w:hAnsi="Times New Roman" w:cs="Times New Roman"/>
          <w:sz w:val="24"/>
          <w:szCs w:val="24"/>
        </w:rPr>
        <w:t xml:space="preserve"> dentro d</w:t>
      </w:r>
      <w:r w:rsidR="00457646" w:rsidRPr="00457646">
        <w:rPr>
          <w:rFonts w:ascii="Times New Roman" w:hAnsi="Times New Roman" w:cs="Times New Roman"/>
          <w:sz w:val="24"/>
          <w:szCs w:val="24"/>
        </w:rPr>
        <w:t>e</w:t>
      </w:r>
      <w:r w:rsidR="008750DB" w:rsidRPr="00457646">
        <w:rPr>
          <w:rFonts w:ascii="Times New Roman" w:hAnsi="Times New Roman" w:cs="Times New Roman"/>
          <w:sz w:val="24"/>
          <w:szCs w:val="24"/>
        </w:rPr>
        <w:t xml:space="preserve"> instituições de privação de liberdade e que esta</w:t>
      </w:r>
      <w:r w:rsidRPr="00457646">
        <w:rPr>
          <w:rFonts w:ascii="Times New Roman" w:hAnsi="Times New Roman" w:cs="Times New Roman"/>
          <w:sz w:val="24"/>
          <w:szCs w:val="24"/>
        </w:rPr>
        <w:t xml:space="preserve"> rejeição pode ter “</w:t>
      </w:r>
      <w:r w:rsidRPr="00E502F8">
        <w:rPr>
          <w:rFonts w:ascii="Times New Roman" w:hAnsi="Times New Roman" w:cs="Times New Roman"/>
          <w:b/>
          <w:bCs/>
          <w:sz w:val="24"/>
          <w:szCs w:val="24"/>
        </w:rPr>
        <w:t>impacto devastador sobre os indivíduos e isolá-los dos espaços soci</w:t>
      </w:r>
      <w:r w:rsidR="008750DB" w:rsidRPr="00E502F8">
        <w:rPr>
          <w:rFonts w:ascii="Times New Roman" w:hAnsi="Times New Roman" w:cs="Times New Roman"/>
          <w:b/>
          <w:bCs/>
          <w:sz w:val="24"/>
          <w:szCs w:val="24"/>
        </w:rPr>
        <w:t>ais essenciais ao seu bem-estar</w:t>
      </w:r>
      <w:r w:rsidR="008750DB" w:rsidRPr="00457646">
        <w:rPr>
          <w:rFonts w:ascii="Times New Roman" w:hAnsi="Times New Roman" w:cs="Times New Roman"/>
          <w:sz w:val="24"/>
          <w:szCs w:val="24"/>
        </w:rPr>
        <w:t>”</w:t>
      </w:r>
      <w:r w:rsidRPr="00457646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="008750DB" w:rsidRPr="00457646">
        <w:rPr>
          <w:rFonts w:ascii="Times New Roman" w:hAnsi="Times New Roman" w:cs="Times New Roman"/>
          <w:sz w:val="24"/>
          <w:szCs w:val="24"/>
        </w:rPr>
        <w:t>;</w:t>
      </w:r>
      <w:r w:rsidR="00445B73" w:rsidRPr="004576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0351A" w14:textId="4C820980" w:rsidR="00896E0C" w:rsidRDefault="00896E0C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A0F87B" w14:textId="330F1F8C" w:rsidR="003D4BF5" w:rsidRDefault="003D4BF5" w:rsidP="00B17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6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CONSIDERANDO </w:t>
      </w:r>
      <w:r w:rsidRPr="00BB4365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BB43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 termos </w:t>
      </w:r>
      <w:r w:rsidRPr="00BB4365">
        <w:rPr>
          <w:rFonts w:ascii="Times New Roman" w:hAnsi="Times New Roman" w:cs="Times New Roman"/>
          <w:bCs/>
          <w:color w:val="000000"/>
          <w:sz w:val="24"/>
          <w:szCs w:val="24"/>
        </w:rPr>
        <w:t>da Resolução</w:t>
      </w:r>
      <w:r w:rsidR="00BB43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n.</w:t>
      </w:r>
      <w:r w:rsidRPr="00BB43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18/2018</w:t>
      </w:r>
      <w:r w:rsidR="00E502F8" w:rsidRPr="00BB43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BB4365">
        <w:rPr>
          <w:rFonts w:ascii="Times New Roman" w:hAnsi="Times New Roman" w:cs="Times New Roman"/>
          <w:bCs/>
          <w:color w:val="000000"/>
          <w:sz w:val="24"/>
          <w:szCs w:val="24"/>
        </w:rPr>
        <w:t>da Secretaria Estadual de Segurança Pública, que</w:t>
      </w:r>
      <w:r w:rsidRPr="00BB43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B4365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BB4365">
        <w:rPr>
          <w:rFonts w:ascii="Times New Roman" w:hAnsi="Times New Roman" w:cs="Times New Roman"/>
          <w:sz w:val="24"/>
          <w:szCs w:val="24"/>
        </w:rPr>
        <w:t>stabelece diretrizes para o atendimento e tratamento da pessoa LGBT no âmbito do Sistema Socioeducativo</w:t>
      </w:r>
      <w:r w:rsidR="00BB4365">
        <w:rPr>
          <w:rFonts w:ascii="Times New Roman" w:hAnsi="Times New Roman" w:cs="Times New Roman"/>
          <w:sz w:val="24"/>
          <w:szCs w:val="24"/>
        </w:rPr>
        <w:t xml:space="preserve"> de Minas Gerais</w:t>
      </w:r>
      <w:r w:rsidR="00B203A1" w:rsidRPr="00BB4365">
        <w:rPr>
          <w:rFonts w:ascii="Times New Roman" w:hAnsi="Times New Roman" w:cs="Times New Roman"/>
          <w:sz w:val="24"/>
          <w:szCs w:val="24"/>
        </w:rPr>
        <w:t>, em especial o</w:t>
      </w:r>
      <w:r w:rsidR="00CE5FA2" w:rsidRPr="00BB4365">
        <w:rPr>
          <w:rFonts w:ascii="Times New Roman" w:hAnsi="Times New Roman" w:cs="Times New Roman"/>
          <w:sz w:val="24"/>
          <w:szCs w:val="24"/>
        </w:rPr>
        <w:t xml:space="preserve"> art. 2°, que prevê </w:t>
      </w:r>
      <w:r w:rsidR="00CE5FA2" w:rsidRPr="00BB4365">
        <w:rPr>
          <w:rFonts w:ascii="Times New Roman" w:hAnsi="Times New Roman" w:cs="Times New Roman"/>
          <w:b/>
          <w:bCs/>
          <w:sz w:val="24"/>
          <w:szCs w:val="24"/>
        </w:rPr>
        <w:t>o respeito à diversidade sexual</w:t>
      </w:r>
      <w:r w:rsidR="00BB4365">
        <w:rPr>
          <w:rFonts w:ascii="Times New Roman" w:hAnsi="Times New Roman" w:cs="Times New Roman"/>
          <w:b/>
          <w:bCs/>
          <w:sz w:val="24"/>
          <w:szCs w:val="24"/>
        </w:rPr>
        <w:t xml:space="preserve"> e à</w:t>
      </w:r>
      <w:r w:rsidR="00BB4365" w:rsidRPr="00BB4365">
        <w:rPr>
          <w:rFonts w:ascii="Times New Roman" w:hAnsi="Times New Roman" w:cs="Times New Roman"/>
          <w:b/>
          <w:bCs/>
          <w:sz w:val="24"/>
          <w:szCs w:val="24"/>
        </w:rPr>
        <w:t xml:space="preserve"> dignidade humana</w:t>
      </w:r>
      <w:r w:rsidR="00BB4365">
        <w:rPr>
          <w:rFonts w:ascii="Times New Roman" w:hAnsi="Times New Roman" w:cs="Times New Roman"/>
          <w:b/>
          <w:bCs/>
          <w:sz w:val="24"/>
          <w:szCs w:val="24"/>
        </w:rPr>
        <w:t>, a humanização do cumprimento das medidas socioeducativas de meio fechado</w:t>
      </w:r>
      <w:r w:rsidR="00254886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CE5FA2" w:rsidRPr="00BB4365">
        <w:rPr>
          <w:rFonts w:ascii="Times New Roman" w:hAnsi="Times New Roman" w:cs="Times New Roman"/>
          <w:b/>
          <w:bCs/>
          <w:sz w:val="24"/>
          <w:szCs w:val="24"/>
        </w:rPr>
        <w:t xml:space="preserve"> o acolhimento da população LGBT no sistema socioeducativo; </w:t>
      </w:r>
      <w:r w:rsidR="002548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E5FA2" w:rsidRPr="00BB4365">
        <w:rPr>
          <w:rFonts w:ascii="Times New Roman" w:hAnsi="Times New Roman" w:cs="Times New Roman"/>
          <w:b/>
          <w:bCs/>
          <w:sz w:val="24"/>
          <w:szCs w:val="24"/>
        </w:rPr>
        <w:t xml:space="preserve"> o art. 3°, que veda qualquer forma de discriminação fundada na orientação sexual ou</w:t>
      </w:r>
      <w:r w:rsidR="000E567D" w:rsidRPr="00BB4365">
        <w:rPr>
          <w:rFonts w:ascii="Times New Roman" w:hAnsi="Times New Roman" w:cs="Times New Roman"/>
          <w:b/>
          <w:bCs/>
          <w:sz w:val="24"/>
          <w:szCs w:val="24"/>
        </w:rPr>
        <w:t xml:space="preserve"> na</w:t>
      </w:r>
      <w:r w:rsidR="00CE5FA2" w:rsidRPr="00BB4365">
        <w:rPr>
          <w:rFonts w:ascii="Times New Roman" w:hAnsi="Times New Roman" w:cs="Times New Roman"/>
          <w:b/>
          <w:bCs/>
          <w:sz w:val="24"/>
          <w:szCs w:val="24"/>
        </w:rPr>
        <w:t xml:space="preserve"> identidade de gênero</w:t>
      </w:r>
      <w:r w:rsidR="00CE5FA2" w:rsidRPr="00BB4365">
        <w:rPr>
          <w:rFonts w:ascii="Times New Roman" w:hAnsi="Times New Roman" w:cs="Times New Roman"/>
          <w:sz w:val="24"/>
          <w:szCs w:val="24"/>
        </w:rPr>
        <w:t xml:space="preserve"> por parte daqueles que compõem o Sistema Socioeducativo e de particulares</w:t>
      </w:r>
      <w:r w:rsidR="00254886">
        <w:rPr>
          <w:rFonts w:ascii="Times New Roman" w:hAnsi="Times New Roman" w:cs="Times New Roman"/>
          <w:sz w:val="24"/>
          <w:szCs w:val="24"/>
        </w:rPr>
        <w:t>;</w:t>
      </w:r>
    </w:p>
    <w:p w14:paraId="6639FC6C" w14:textId="77777777" w:rsidR="00E04865" w:rsidRDefault="00E04865" w:rsidP="00B17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99D38" w14:textId="1C0EBC75" w:rsidR="00254886" w:rsidRDefault="00254886" w:rsidP="0025488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B43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que a </w:t>
      </w:r>
      <w:r w:rsidRPr="00BB4365">
        <w:rPr>
          <w:rFonts w:ascii="Times New Roman" w:hAnsi="Times New Roman" w:cs="Times New Roman"/>
          <w:bCs/>
          <w:color w:val="000000"/>
          <w:sz w:val="24"/>
          <w:szCs w:val="24"/>
        </w:rPr>
        <w:t>Resolução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n.</w:t>
      </w:r>
      <w:r w:rsidRPr="00BB43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18/2018, da Secretaria Estadual de Segurança Pública,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em seu art. 14, garante a</w:t>
      </w:r>
      <w:r w:rsidRPr="002548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E1087">
        <w:rPr>
          <w:rFonts w:ascii="Times New Roman" w:hAnsi="Times New Roman" w:cs="Times New Roman"/>
          <w:b/>
          <w:color w:val="000000"/>
          <w:sz w:val="24"/>
          <w:szCs w:val="24"/>
        </w:rPr>
        <w:t>adolescentes LGBT em situação de privação ou restrição de liberdade</w:t>
      </w:r>
      <w:r w:rsidRPr="002548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E1087">
        <w:rPr>
          <w:rFonts w:ascii="Times New Roman" w:hAnsi="Times New Roman" w:cs="Times New Roman"/>
          <w:b/>
          <w:color w:val="000000"/>
          <w:sz w:val="24"/>
          <w:szCs w:val="24"/>
        </w:rPr>
        <w:t>o direito à atenção integral à saúde</w:t>
      </w:r>
      <w:r w:rsidRPr="002548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conformidade com 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Pr="00254886">
        <w:rPr>
          <w:rFonts w:ascii="Times New Roman" w:hAnsi="Times New Roman" w:cs="Times New Roman"/>
          <w:bCs/>
          <w:color w:val="000000"/>
          <w:sz w:val="24"/>
          <w:szCs w:val="24"/>
        </w:rPr>
        <w:t>ortaria nº 1.082</w:t>
      </w:r>
      <w:r w:rsidR="00C665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254886">
        <w:rPr>
          <w:rFonts w:ascii="Times New Roman" w:hAnsi="Times New Roman" w:cs="Times New Roman"/>
          <w:bCs/>
          <w:color w:val="000000"/>
          <w:sz w:val="24"/>
          <w:szCs w:val="24"/>
        </w:rPr>
        <w:t>de 23 de maio de 2014</w:t>
      </w:r>
      <w:r w:rsidR="00C665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2548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C66548">
        <w:rPr>
          <w:rFonts w:ascii="Times New Roman" w:hAnsi="Times New Roman" w:cs="Times New Roman"/>
          <w:bCs/>
          <w:color w:val="000000"/>
          <w:sz w:val="24"/>
          <w:szCs w:val="24"/>
        </w:rPr>
        <w:t>de acordo com a</w:t>
      </w:r>
      <w:r w:rsidRPr="002548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Política de Atenção Integral à Saúde dos Adolescentes em Conflito com a Lei, em Regime de Internação e Internação Provisória da Política Nacional de Saúde Integral de Lésbicas, Gays, Bissexuais, Travestis e Transexuais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2548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LGBT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7C608FEB" w14:textId="1F7E2C26" w:rsidR="00D56C36" w:rsidRDefault="00D56C36" w:rsidP="0025488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3C630FE" w14:textId="77777777" w:rsidR="00D56C36" w:rsidRDefault="00D56C36" w:rsidP="00D56C3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02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CONSIDERANDO</w:t>
      </w:r>
      <w:r w:rsidRPr="00E502F8">
        <w:rPr>
          <w:rFonts w:ascii="Times New Roman" w:hAnsi="Times New Roman" w:cs="Times New Roman"/>
          <w:color w:val="000000"/>
          <w:sz w:val="24"/>
          <w:szCs w:val="24"/>
        </w:rPr>
        <w:t xml:space="preserve"> o teor do art. 8°, inciso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I e </w:t>
      </w:r>
      <w:r w:rsidRPr="00E502F8">
        <w:rPr>
          <w:rFonts w:ascii="Times New Roman" w:hAnsi="Times New Roman" w:cs="Times New Roman"/>
          <w:color w:val="000000"/>
          <w:sz w:val="24"/>
          <w:szCs w:val="24"/>
        </w:rPr>
        <w:t xml:space="preserve">III, do Regimento Único das Unidades de Execução da Medida Socioeducativa de Semiliberdade da SUASE,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Pr="00E502F8">
        <w:rPr>
          <w:rFonts w:ascii="Times New Roman" w:hAnsi="Times New Roman" w:cs="Times New Roman"/>
          <w:color w:val="000000"/>
          <w:sz w:val="24"/>
          <w:szCs w:val="24"/>
        </w:rPr>
        <w:t xml:space="preserve">dispõe que </w:t>
      </w:r>
      <w:r w:rsidRPr="00E502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 Unidades de Semiliberdade deverão assegurar aos adolescentes 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respeito à sua integridade psíquica e a suas formas de expressão, suas opiniões, interesses e sentimentos, bem como garantir o</w:t>
      </w:r>
      <w:r w:rsidRPr="00E502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recebimento de assistência à saúde</w:t>
      </w:r>
      <w:r w:rsidRPr="00E502F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43318A76" w14:textId="77777777" w:rsidR="00254886" w:rsidRDefault="00254886" w:rsidP="00B17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80735" w14:textId="506106E9" w:rsidR="003518F3" w:rsidRDefault="003518F3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65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CONSIDERANDO</w:t>
      </w:r>
      <w:r w:rsidRPr="00C66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6548">
        <w:rPr>
          <w:rFonts w:ascii="Times New Roman" w:hAnsi="Times New Roman" w:cs="Times New Roman"/>
          <w:color w:val="000000"/>
          <w:sz w:val="24"/>
          <w:szCs w:val="24"/>
        </w:rPr>
        <w:t>que a</w:t>
      </w:r>
      <w:r w:rsidRPr="00C66548">
        <w:rPr>
          <w:rFonts w:ascii="Times New Roman" w:hAnsi="Times New Roman" w:cs="Times New Roman"/>
          <w:color w:val="000000"/>
          <w:sz w:val="24"/>
          <w:szCs w:val="24"/>
        </w:rPr>
        <w:t xml:space="preserve"> Resolução n. 348/2020, </w:t>
      </w:r>
      <w:r w:rsidR="00C66548">
        <w:rPr>
          <w:rFonts w:ascii="Times New Roman" w:hAnsi="Times New Roman" w:cs="Times New Roman"/>
          <w:color w:val="000000"/>
          <w:sz w:val="24"/>
          <w:szCs w:val="24"/>
        </w:rPr>
        <w:t xml:space="preserve">do Conselho Nacional de Justiça, </w:t>
      </w:r>
      <w:r w:rsidRPr="00C66548">
        <w:rPr>
          <w:rFonts w:ascii="Times New Roman" w:hAnsi="Times New Roman" w:cs="Times New Roman"/>
          <w:color w:val="000000"/>
          <w:sz w:val="24"/>
          <w:szCs w:val="24"/>
        </w:rPr>
        <w:t xml:space="preserve">responsável por prever diretrizes para o tratamento penal da população LGBTI+, </w:t>
      </w:r>
      <w:r w:rsidR="007E1087">
        <w:rPr>
          <w:rFonts w:ascii="Times New Roman" w:hAnsi="Times New Roman" w:cs="Times New Roman"/>
          <w:color w:val="000000"/>
          <w:sz w:val="24"/>
          <w:szCs w:val="24"/>
        </w:rPr>
        <w:t xml:space="preserve">em seu art. 15, </w:t>
      </w:r>
      <w:r w:rsidR="007E1087" w:rsidRPr="00D56C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estende sua aplicação a adolescentes</w:t>
      </w:r>
      <w:r w:rsidR="007E1087" w:rsidRPr="00C66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1087" w:rsidRPr="00D56C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apreendidos</w:t>
      </w:r>
      <w:r w:rsidR="007E1087" w:rsidRPr="00C66548">
        <w:rPr>
          <w:rFonts w:ascii="Times New Roman" w:hAnsi="Times New Roman" w:cs="Times New Roman"/>
          <w:color w:val="000000"/>
          <w:sz w:val="24"/>
          <w:szCs w:val="24"/>
        </w:rPr>
        <w:t>, processados p</w:t>
      </w:r>
      <w:r w:rsidR="007E1087">
        <w:rPr>
          <w:rFonts w:ascii="Times New Roman" w:hAnsi="Times New Roman" w:cs="Times New Roman"/>
          <w:color w:val="000000"/>
          <w:sz w:val="24"/>
          <w:szCs w:val="24"/>
        </w:rPr>
        <w:t>ela prática</w:t>
      </w:r>
      <w:r w:rsidR="007E1087" w:rsidRPr="00C66548">
        <w:rPr>
          <w:rFonts w:ascii="Times New Roman" w:hAnsi="Times New Roman" w:cs="Times New Roman"/>
          <w:color w:val="000000"/>
          <w:sz w:val="24"/>
          <w:szCs w:val="24"/>
        </w:rPr>
        <w:t xml:space="preserve"> de ato infracional ou </w:t>
      </w:r>
      <w:r w:rsidR="007E1087" w:rsidRPr="00D56C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 cumprimento de medida socioeducativa</w:t>
      </w:r>
      <w:r w:rsidR="007E1087">
        <w:rPr>
          <w:rFonts w:ascii="Times New Roman" w:hAnsi="Times New Roman" w:cs="Times New Roman"/>
          <w:color w:val="000000"/>
          <w:sz w:val="24"/>
          <w:szCs w:val="24"/>
        </w:rPr>
        <w:t xml:space="preserve"> e que se reconheçam integrantes da comunidade LGBTI+, no que couber</w:t>
      </w:r>
      <w:r w:rsidR="007E1087" w:rsidRPr="00D3250F">
        <w:rPr>
          <w:rFonts w:ascii="Times New Roman" w:hAnsi="Times New Roman" w:cs="Times New Roman"/>
          <w:color w:val="000000"/>
          <w:sz w:val="24"/>
          <w:szCs w:val="24"/>
        </w:rPr>
        <w:t xml:space="preserve">, assegurando </w:t>
      </w:r>
      <w:r w:rsidRPr="00D3250F">
        <w:rPr>
          <w:rFonts w:ascii="Times New Roman" w:hAnsi="Times New Roman" w:cs="Times New Roman"/>
          <w:color w:val="000000"/>
          <w:sz w:val="24"/>
          <w:szCs w:val="24"/>
        </w:rPr>
        <w:t>à pessoa</w:t>
      </w:r>
      <w:r w:rsidRPr="00D325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transgênero</w:t>
      </w:r>
      <w:r w:rsidR="00D3250F">
        <w:rPr>
          <w:rFonts w:ascii="Times New Roman" w:hAnsi="Times New Roman" w:cs="Times New Roman"/>
          <w:color w:val="000000"/>
          <w:sz w:val="24"/>
          <w:szCs w:val="24"/>
        </w:rPr>
        <w:t xml:space="preserve"> em cumprimento de pena</w:t>
      </w:r>
      <w:r w:rsidR="00D56C36">
        <w:rPr>
          <w:rFonts w:ascii="Times New Roman" w:hAnsi="Times New Roman" w:cs="Times New Roman"/>
          <w:color w:val="000000"/>
          <w:sz w:val="24"/>
          <w:szCs w:val="24"/>
        </w:rPr>
        <w:t xml:space="preserve"> (ou medida socioeducativa)</w:t>
      </w:r>
      <w:r w:rsidR="00D325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108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665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direito à assistência à saúde</w:t>
      </w:r>
      <w:r w:rsidRPr="00C665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3250F">
        <w:rPr>
          <w:rFonts w:ascii="Times New Roman" w:hAnsi="Times New Roman" w:cs="Times New Roman"/>
          <w:color w:val="000000"/>
          <w:sz w:val="24"/>
          <w:szCs w:val="24"/>
        </w:rPr>
        <w:lastRenderedPageBreak/>
        <w:t>incluído o acesso</w:t>
      </w:r>
      <w:r w:rsidRPr="00C66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250F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Pr="00C66548">
        <w:rPr>
          <w:rFonts w:ascii="Times New Roman" w:hAnsi="Times New Roman" w:cs="Times New Roman"/>
          <w:color w:val="000000"/>
          <w:sz w:val="24"/>
          <w:szCs w:val="24"/>
        </w:rPr>
        <w:t>tratamento hormonal e sua manutenção ao longo do período</w:t>
      </w:r>
      <w:r w:rsidR="00D56C36">
        <w:rPr>
          <w:rFonts w:ascii="Times New Roman" w:hAnsi="Times New Roman" w:cs="Times New Roman"/>
          <w:color w:val="000000"/>
          <w:sz w:val="24"/>
          <w:szCs w:val="24"/>
        </w:rPr>
        <w:t xml:space="preserve"> de expiação</w:t>
      </w:r>
      <w:r w:rsidR="00C66548">
        <w:rPr>
          <w:rFonts w:ascii="Times New Roman" w:hAnsi="Times New Roman" w:cs="Times New Roman"/>
          <w:color w:val="000000"/>
          <w:sz w:val="24"/>
          <w:szCs w:val="24"/>
        </w:rPr>
        <w:t xml:space="preserve">, bem como </w:t>
      </w:r>
      <w:r w:rsidRPr="00C6654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C665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direito ao acompanhamento de saúde específico</w:t>
      </w:r>
      <w:r w:rsidR="00C665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B42A6C" w14:textId="1ECC61EE" w:rsidR="00D56C36" w:rsidRDefault="00D56C36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B9AE72" w14:textId="3D6AE33A" w:rsidR="00D56C36" w:rsidRPr="00713EB2" w:rsidRDefault="00D56C36" w:rsidP="00D56C3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3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CONSIDERANDO </w:t>
      </w:r>
      <w:r w:rsidRPr="00713EB2">
        <w:rPr>
          <w:rFonts w:ascii="Times New Roman" w:hAnsi="Times New Roman" w:cs="Times New Roman"/>
          <w:color w:val="000000"/>
          <w:sz w:val="24"/>
          <w:szCs w:val="24"/>
        </w:rPr>
        <w:t xml:space="preserve">que a Política Nacional de Saúde Integral de Lésbicas, Gays, Bissexuais, Travestis e Transexuais, instituída pela Portaria </w:t>
      </w:r>
      <w:r w:rsidR="00713EB2" w:rsidRPr="00713EB2">
        <w:rPr>
          <w:rFonts w:ascii="Times New Roman" w:hAnsi="Times New Roman" w:cs="Times New Roman"/>
          <w:color w:val="000000"/>
          <w:sz w:val="24"/>
          <w:szCs w:val="24"/>
        </w:rPr>
        <w:t xml:space="preserve">GM/MS n. 2.836/2011, </w:t>
      </w:r>
      <w:r w:rsidRPr="00713EB2">
        <w:rPr>
          <w:rFonts w:ascii="Times New Roman" w:hAnsi="Times New Roman" w:cs="Times New Roman"/>
          <w:color w:val="000000"/>
          <w:sz w:val="24"/>
          <w:szCs w:val="24"/>
        </w:rPr>
        <w:t>traça, em seu art. 2°,</w:t>
      </w:r>
      <w:r w:rsidR="00713EB2" w:rsidRPr="00713EB2">
        <w:rPr>
          <w:rFonts w:ascii="Times New Roman" w:hAnsi="Times New Roman" w:cs="Times New Roman"/>
          <w:color w:val="000000"/>
          <w:sz w:val="24"/>
          <w:szCs w:val="24"/>
        </w:rPr>
        <w:t xml:space="preserve"> incisos II e X,</w:t>
      </w:r>
      <w:r w:rsidRPr="00713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3EB2" w:rsidRPr="00713EB2">
        <w:rPr>
          <w:rFonts w:ascii="Times New Roman" w:hAnsi="Times New Roman" w:cs="Times New Roman"/>
          <w:color w:val="000000"/>
          <w:sz w:val="24"/>
          <w:szCs w:val="24"/>
        </w:rPr>
        <w:t>como</w:t>
      </w:r>
      <w:r w:rsidRPr="00713EB2">
        <w:rPr>
          <w:rFonts w:ascii="Times New Roman" w:hAnsi="Times New Roman" w:cs="Times New Roman"/>
          <w:color w:val="000000"/>
          <w:sz w:val="24"/>
          <w:szCs w:val="24"/>
        </w:rPr>
        <w:t xml:space="preserve"> objetivos específicos, a </w:t>
      </w:r>
      <w:r w:rsidRPr="00713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ampliação do acesso da população LGBT aos serviços de saúde d</w:t>
      </w:r>
      <w:r w:rsidR="00713EB2" w:rsidRPr="00713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713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SUS</w:t>
      </w:r>
      <w:r w:rsidRPr="00713E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C17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garantindo respeito </w:t>
      </w:r>
      <w:r w:rsidRPr="00713EB2">
        <w:rPr>
          <w:rFonts w:ascii="Times New Roman" w:hAnsi="Times New Roman" w:cs="Times New Roman"/>
          <w:color w:val="000000"/>
          <w:sz w:val="24"/>
          <w:szCs w:val="24"/>
        </w:rPr>
        <w:t xml:space="preserve">e prestação de </w:t>
      </w:r>
      <w:r w:rsidR="00713EB2" w:rsidRPr="00713EB2">
        <w:rPr>
          <w:rFonts w:ascii="Times New Roman" w:hAnsi="Times New Roman" w:cs="Times New Roman"/>
          <w:color w:val="000000"/>
          <w:sz w:val="24"/>
          <w:szCs w:val="24"/>
        </w:rPr>
        <w:t>atendimento</w:t>
      </w:r>
      <w:r w:rsidRPr="00713EB2">
        <w:rPr>
          <w:rFonts w:ascii="Times New Roman" w:hAnsi="Times New Roman" w:cs="Times New Roman"/>
          <w:color w:val="000000"/>
          <w:sz w:val="24"/>
          <w:szCs w:val="24"/>
        </w:rPr>
        <w:t xml:space="preserve"> com qualidade e resolução de demandas e necessidades</w:t>
      </w:r>
      <w:r w:rsidR="00713EB2" w:rsidRPr="00713E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13EB2">
        <w:rPr>
          <w:rFonts w:ascii="Times New Roman" w:hAnsi="Times New Roman" w:cs="Times New Roman"/>
          <w:color w:val="000000"/>
          <w:sz w:val="24"/>
          <w:szCs w:val="24"/>
        </w:rPr>
        <w:t>estabelece</w:t>
      </w:r>
      <w:r w:rsidR="00713EB2" w:rsidRPr="00713EB2">
        <w:rPr>
          <w:rFonts w:ascii="Times New Roman" w:hAnsi="Times New Roman" w:cs="Times New Roman"/>
          <w:color w:val="000000"/>
          <w:sz w:val="24"/>
          <w:szCs w:val="24"/>
        </w:rPr>
        <w:t>ndo, ainda,</w:t>
      </w:r>
      <w:r w:rsidRPr="00713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3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dever de ofertar atenção e cuidado à saúde de adolescentes e idosos que façam parte da população LGBT</w:t>
      </w:r>
      <w:r w:rsidRPr="00713EB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D6618D1" w14:textId="77777777" w:rsidR="00D56C36" w:rsidRPr="00C43BEB" w:rsidRDefault="00D56C36" w:rsidP="00D56C3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AFF38E" w14:textId="28FC1641" w:rsidR="00C43BEB" w:rsidRDefault="00D56C36" w:rsidP="00D56C3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3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CONSIDERANDO</w:t>
      </w:r>
      <w:r w:rsidRPr="00C43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3BEB" w:rsidRPr="00C43BEB">
        <w:rPr>
          <w:rFonts w:ascii="Times New Roman" w:hAnsi="Times New Roman" w:cs="Times New Roman"/>
          <w:color w:val="000000"/>
          <w:sz w:val="24"/>
          <w:szCs w:val="24"/>
        </w:rPr>
        <w:t>que a</w:t>
      </w:r>
      <w:r w:rsidRPr="00C43BEB">
        <w:rPr>
          <w:rFonts w:ascii="Times New Roman" w:hAnsi="Times New Roman" w:cs="Times New Roman"/>
          <w:color w:val="000000"/>
          <w:sz w:val="24"/>
          <w:szCs w:val="24"/>
        </w:rPr>
        <w:t xml:space="preserve"> Portaria GM/MS n. 2.803/2013, </w:t>
      </w:r>
      <w:r w:rsidR="00C43BEB" w:rsidRPr="00C43BEB">
        <w:rPr>
          <w:rFonts w:ascii="Times New Roman" w:hAnsi="Times New Roman" w:cs="Times New Roman"/>
          <w:color w:val="000000"/>
          <w:sz w:val="24"/>
          <w:szCs w:val="24"/>
        </w:rPr>
        <w:t>responsável por</w:t>
      </w:r>
      <w:r w:rsidRPr="00C43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3BEB" w:rsidRPr="00C43BEB">
        <w:rPr>
          <w:rFonts w:ascii="Times New Roman" w:hAnsi="Times New Roman" w:cs="Times New Roman"/>
          <w:color w:val="000000"/>
          <w:sz w:val="24"/>
          <w:szCs w:val="24"/>
        </w:rPr>
        <w:t xml:space="preserve">prever </w:t>
      </w:r>
      <w:r w:rsidRPr="00C43BEB">
        <w:rPr>
          <w:rFonts w:ascii="Times New Roman" w:hAnsi="Times New Roman" w:cs="Times New Roman"/>
          <w:color w:val="000000"/>
          <w:sz w:val="24"/>
          <w:szCs w:val="24"/>
        </w:rPr>
        <w:t>as diretrizes para o fornecimento público do processo transexualizador, estabele</w:t>
      </w:r>
      <w:r w:rsidR="00C43BEB" w:rsidRPr="00C43BE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43BEB">
        <w:rPr>
          <w:rFonts w:ascii="Times New Roman" w:hAnsi="Times New Roman" w:cs="Times New Roman"/>
          <w:color w:val="000000"/>
          <w:sz w:val="24"/>
          <w:szCs w:val="24"/>
        </w:rPr>
        <w:t xml:space="preserve">e, em seu art. 2º, o </w:t>
      </w:r>
      <w:r w:rsidR="00C43BEB" w:rsidRPr="00C46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dever de prestação de atenção integral à saúde de pessoas transexuais e travestis, não restringido </w:t>
      </w:r>
      <w:r w:rsidR="00C4668F" w:rsidRPr="00C46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meta</w:t>
      </w:r>
      <w:r w:rsidR="00C43BEB" w:rsidRPr="00C46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terapêutica à</w:t>
      </w:r>
      <w:r w:rsidR="00C4668F" w:rsidRPr="00C46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realização de </w:t>
      </w:r>
      <w:r w:rsidR="00C43BEB" w:rsidRPr="00C46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cirurgias ou intervenções somáticas</w:t>
      </w:r>
      <w:r w:rsidR="00C4668F">
        <w:rPr>
          <w:rFonts w:ascii="Times New Roman" w:hAnsi="Times New Roman" w:cs="Times New Roman"/>
          <w:color w:val="000000"/>
          <w:sz w:val="24"/>
          <w:szCs w:val="24"/>
        </w:rPr>
        <w:t xml:space="preserve">, mas estabelecendo a </w:t>
      </w:r>
      <w:r w:rsidR="00C4668F" w:rsidRPr="00C466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obrigação de acolhimento humanizado</w:t>
      </w:r>
      <w:r w:rsidR="00C4668F" w:rsidRPr="00C466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668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4668F" w:rsidRPr="00C4668F">
        <w:rPr>
          <w:rFonts w:ascii="Times New Roman" w:hAnsi="Times New Roman" w:cs="Times New Roman"/>
          <w:color w:val="000000"/>
          <w:sz w:val="24"/>
          <w:szCs w:val="24"/>
        </w:rPr>
        <w:t xml:space="preserve"> livre de discriminação, por meio da sensibilização dos trabalhadores e usuários da unidade de saúde </w:t>
      </w:r>
      <w:r w:rsidR="00C4668F">
        <w:rPr>
          <w:rFonts w:ascii="Times New Roman" w:hAnsi="Times New Roman" w:cs="Times New Roman"/>
          <w:color w:val="000000"/>
          <w:sz w:val="24"/>
          <w:szCs w:val="24"/>
        </w:rPr>
        <w:t>sobre</w:t>
      </w:r>
      <w:r w:rsidR="00C4668F" w:rsidRPr="00C4668F">
        <w:rPr>
          <w:rFonts w:ascii="Times New Roman" w:hAnsi="Times New Roman" w:cs="Times New Roman"/>
          <w:color w:val="000000"/>
          <w:sz w:val="24"/>
          <w:szCs w:val="24"/>
        </w:rPr>
        <w:t xml:space="preserve"> o respeito às diferenças e à dignidade humana</w:t>
      </w:r>
      <w:r w:rsidR="00C466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9D54B4" w14:textId="6CC76D42" w:rsidR="00EE5540" w:rsidRDefault="00EE5540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B75E16" w14:textId="103E2CAC" w:rsidR="00EE5540" w:rsidRDefault="001C1F47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2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CONSIDERANDO</w:t>
      </w:r>
      <w:r w:rsidRPr="00AB3257">
        <w:rPr>
          <w:rFonts w:ascii="Times New Roman" w:hAnsi="Times New Roman" w:cs="Times New Roman"/>
          <w:color w:val="000000"/>
          <w:sz w:val="24"/>
          <w:szCs w:val="24"/>
        </w:rPr>
        <w:t xml:space="preserve"> que a Convenção Interamericana de Direitos Humanos, nos termos do art. 11.1, assegura a toda pessoa o </w:t>
      </w:r>
      <w:r w:rsidRPr="00AB32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respeito à honra e à dignidade</w:t>
      </w:r>
      <w:r w:rsidR="00AB325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B3257">
        <w:rPr>
          <w:rFonts w:ascii="Times New Roman" w:hAnsi="Times New Roman" w:cs="Times New Roman"/>
          <w:color w:val="000000"/>
          <w:sz w:val="24"/>
          <w:szCs w:val="24"/>
        </w:rPr>
        <w:t xml:space="preserve"> direito reforçado pela Opinião Consultiva (OC) da Corte Interamericana de Direitos Humanos (CIDH) n. 24/17, no que toca ao </w:t>
      </w:r>
      <w:r w:rsidRPr="00AB32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direito à igualdade e não discriminação de pessoas LGBT</w:t>
      </w:r>
      <w:r w:rsidR="00AB32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I+</w:t>
      </w:r>
      <w:r w:rsidRPr="00AB325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C36A57" w14:textId="38D36CCA" w:rsidR="00F829CF" w:rsidRDefault="00F829CF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14B6A" w14:textId="7A7DE318" w:rsidR="00F829CF" w:rsidRDefault="00F829CF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C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CONSIDERANDO</w:t>
      </w:r>
      <w:r w:rsidRPr="00D56C36">
        <w:rPr>
          <w:rFonts w:ascii="Times New Roman" w:hAnsi="Times New Roman" w:cs="Times New Roman"/>
          <w:color w:val="000000"/>
          <w:sz w:val="24"/>
          <w:szCs w:val="24"/>
        </w:rPr>
        <w:t xml:space="preserve"> que os Princípios de Yogyakarta, </w:t>
      </w:r>
      <w:r w:rsidR="00C4668F" w:rsidRPr="00C4668F">
        <w:rPr>
          <w:rFonts w:ascii="Times New Roman" w:hAnsi="Times New Roman" w:cs="Times New Roman"/>
          <w:color w:val="000000"/>
          <w:sz w:val="24"/>
          <w:szCs w:val="24"/>
        </w:rPr>
        <w:t>(princípios sobre a aplicação da legislação internacional de direitos humanos em relação à orientação sexual e identidade de gênero, adotados por especialistas em reunião realizada no mês de novembro de 2006 em Yogyakarta, Indonésia)</w:t>
      </w:r>
      <w:r w:rsidR="00C466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6C36">
        <w:rPr>
          <w:rFonts w:ascii="Times New Roman" w:hAnsi="Times New Roman" w:cs="Times New Roman"/>
          <w:color w:val="000000"/>
          <w:sz w:val="24"/>
          <w:szCs w:val="24"/>
        </w:rPr>
        <w:t>estabelecem</w:t>
      </w:r>
      <w:r w:rsidR="00F8405D">
        <w:rPr>
          <w:rFonts w:ascii="Times New Roman" w:hAnsi="Times New Roman" w:cs="Times New Roman"/>
          <w:color w:val="000000"/>
          <w:sz w:val="24"/>
          <w:szCs w:val="24"/>
        </w:rPr>
        <w:t>, em seu postulado n. 2, que</w:t>
      </w:r>
      <w:r w:rsidRPr="00D56C36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D26F6C">
        <w:rPr>
          <w:rFonts w:ascii="Times New Roman" w:hAnsi="Times New Roman" w:cs="Times New Roman"/>
          <w:color w:val="000000"/>
          <w:sz w:val="24"/>
          <w:szCs w:val="24"/>
        </w:rPr>
        <w:t>Todas as pessoas têm o</w:t>
      </w:r>
      <w:r w:rsidRPr="00D56C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direito de desfrutar de todos os direitos humanos livres de discriminação por sua orientação sexual ou identidade de gênero</w:t>
      </w:r>
      <w:r w:rsidR="00F8405D">
        <w:rPr>
          <w:rFonts w:ascii="Times New Roman" w:hAnsi="Times New Roman" w:cs="Times New Roman"/>
          <w:color w:val="000000"/>
          <w:sz w:val="24"/>
          <w:szCs w:val="24"/>
        </w:rPr>
        <w:t xml:space="preserve">” e que, segundo o postulado n. 9, o </w:t>
      </w:r>
      <w:r w:rsidR="00F8405D">
        <w:rPr>
          <w:rFonts w:ascii="Times New Roman" w:hAnsi="Times New Roman" w:cs="Times New Roman"/>
          <w:color w:val="000000"/>
          <w:sz w:val="24"/>
          <w:szCs w:val="24"/>
        </w:rPr>
        <w:lastRenderedPageBreak/>
        <w:t>Estado tem o dever de “</w:t>
      </w:r>
      <w:r w:rsidR="00F8405D" w:rsidRPr="00D26F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Garantir que a detenção</w:t>
      </w:r>
      <w:r w:rsidR="00F8405D" w:rsidRPr="00F840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evite uma maior marginalização das pessoas motivada pela orientação sexual ou identidade de gênero, expondo-as a risco de violência, maus-tratos ou abusos físicos, mentais ou sexuais</w:t>
      </w:r>
      <w:r w:rsidR="00F8405D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D26F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05D">
        <w:rPr>
          <w:rFonts w:ascii="Times New Roman" w:hAnsi="Times New Roman" w:cs="Times New Roman"/>
          <w:color w:val="000000"/>
          <w:sz w:val="24"/>
          <w:szCs w:val="24"/>
        </w:rPr>
        <w:t xml:space="preserve">e, finalmente, em seu postulado n. 17, </w:t>
      </w:r>
      <w:r w:rsidR="00D26F6C">
        <w:rPr>
          <w:rFonts w:ascii="Times New Roman" w:hAnsi="Times New Roman" w:cs="Times New Roman"/>
          <w:color w:val="000000"/>
          <w:sz w:val="24"/>
          <w:szCs w:val="24"/>
        </w:rPr>
        <w:t>asseguram que</w:t>
      </w:r>
      <w:r w:rsidR="00F84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6C36">
        <w:rPr>
          <w:rFonts w:ascii="Times New Roman" w:hAnsi="Times New Roman" w:cs="Times New Roman"/>
          <w:color w:val="000000"/>
          <w:sz w:val="24"/>
          <w:szCs w:val="24"/>
        </w:rPr>
        <w:t xml:space="preserve">“Toda pessoa tem o </w:t>
      </w:r>
      <w:r w:rsidRPr="00D56C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direito ao padrão mais alto alcançável de saúde física e mental, sem discriminação por motivo de orientação sexual ou identidade de gênero</w:t>
      </w:r>
      <w:r w:rsidRPr="00D56C36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D26F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785F352" w14:textId="77777777" w:rsidR="00B17688" w:rsidRPr="00B17688" w:rsidRDefault="00B17688" w:rsidP="00B1768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C0A57" w14:textId="7449894C" w:rsidR="00851D40" w:rsidRPr="00A83A7E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 w:rsidR="00E24E93"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 w:rsidR="00E24E93"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C913B4">
        <w:rPr>
          <w:rFonts w:ascii="Times New Roman" w:hAnsi="Times New Roman" w:cs="Times New Roman"/>
          <w:sz w:val="24"/>
          <w:szCs w:val="24"/>
        </w:rPr>
        <w:t xml:space="preserve">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</w:t>
      </w:r>
      <w:r w:rsidR="006648B2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ação civil pública e todas as espécies de ações capazes de propiciar a adequada tutela dos direitos difusos, coletivos ou individuais homogêneos quando o resultado da demanda puder beneficiar grupo de pessoas hipossuficientes; 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t>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 tudo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 visando 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assegurar às pessoas, sob </w:t>
      </w:r>
      <w:r w:rsidRPr="00A83A7E">
        <w:rPr>
          <w:rFonts w:ascii="Times New Roman" w:hAnsi="Times New Roman" w:cs="Times New Roman"/>
          <w:sz w:val="24"/>
          <w:szCs w:val="24"/>
        </w:rPr>
        <w:t>quaisquer circunstâncias, o exercício pleno de seus direitos e garantias fundamentais</w:t>
      </w:r>
      <w:r w:rsidR="006648B2" w:rsidRPr="00A83A7E">
        <w:rPr>
          <w:rFonts w:ascii="Times New Roman" w:hAnsi="Times New Roman" w:cs="Times New Roman"/>
          <w:sz w:val="24"/>
          <w:szCs w:val="24"/>
        </w:rPr>
        <w:t>,</w:t>
      </w:r>
      <w:r w:rsidRPr="00A83A7E">
        <w:rPr>
          <w:rFonts w:ascii="Times New Roman" w:hAnsi="Times New Roman" w:cs="Times New Roman"/>
          <w:sz w:val="24"/>
          <w:szCs w:val="24"/>
        </w:rPr>
        <w:t xml:space="preserve"> conforme o disposto no art. 4º,</w:t>
      </w:r>
      <w:r w:rsidR="00D26F6C">
        <w:rPr>
          <w:rFonts w:ascii="Times New Roman" w:hAnsi="Times New Roman" w:cs="Times New Roman"/>
          <w:sz w:val="24"/>
          <w:szCs w:val="24"/>
        </w:rPr>
        <w:t xml:space="preserve"> incisos</w:t>
      </w:r>
      <w:r w:rsidRPr="00A83A7E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II,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III, VII,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VIII, </w:t>
      </w:r>
      <w:r w:rsidRPr="00A83A7E">
        <w:rPr>
          <w:rFonts w:ascii="Times New Roman" w:hAnsi="Times New Roman" w:cs="Times New Roman"/>
          <w:sz w:val="24"/>
          <w:szCs w:val="24"/>
        </w:rPr>
        <w:t>X, da Lei Complementar Federal nº 80/94;</w:t>
      </w:r>
    </w:p>
    <w:p w14:paraId="7C53A1DB" w14:textId="2F754DA3" w:rsidR="00286D89" w:rsidRPr="00A83A7E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DD432" w14:textId="74A7C95F" w:rsidR="005147C4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A7E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A83A7E">
        <w:rPr>
          <w:rFonts w:ascii="Times New Roman" w:hAnsi="Times New Roman" w:cs="Times New Roman"/>
          <w:sz w:val="24"/>
          <w:szCs w:val="24"/>
        </w:rPr>
        <w:t xml:space="preserve"> instaurar</w:t>
      </w:r>
      <w:r w:rsidR="009C084E" w:rsidRPr="00A83A7E">
        <w:rPr>
          <w:rFonts w:ascii="Times New Roman" w:hAnsi="Times New Roman" w:cs="Times New Roman"/>
          <w:sz w:val="24"/>
          <w:szCs w:val="24"/>
        </w:rPr>
        <w:t xml:space="preserve"> de ofício </w:t>
      </w:r>
      <w:r w:rsidRPr="00A83A7E">
        <w:rPr>
          <w:rFonts w:ascii="Times New Roman" w:hAnsi="Times New Roman" w:cs="Times New Roman"/>
          <w:sz w:val="24"/>
          <w:szCs w:val="24"/>
        </w:rPr>
        <w:t xml:space="preserve">o presente Procedimento Administrativo </w:t>
      </w:r>
      <w:r w:rsidR="00A22EB5" w:rsidRPr="00A83A7E">
        <w:rPr>
          <w:rFonts w:ascii="Times New Roman" w:hAnsi="Times New Roman" w:cs="Times New Roman"/>
          <w:sz w:val="24"/>
          <w:szCs w:val="24"/>
        </w:rPr>
        <w:t>de Tutela Coletiva (PTAC)</w:t>
      </w:r>
      <w:r w:rsidRPr="00A83A7E">
        <w:rPr>
          <w:rFonts w:ascii="Times New Roman" w:hAnsi="Times New Roman" w:cs="Times New Roman"/>
          <w:sz w:val="24"/>
          <w:szCs w:val="24"/>
        </w:rPr>
        <w:t xml:space="preserve"> para</w:t>
      </w:r>
      <w:r w:rsidR="002A21D8">
        <w:rPr>
          <w:rFonts w:ascii="Times New Roman" w:hAnsi="Times New Roman" w:cs="Times New Roman"/>
          <w:sz w:val="24"/>
          <w:szCs w:val="24"/>
        </w:rPr>
        <w:t>: a)</w:t>
      </w:r>
      <w:r w:rsidRPr="00A83A7E">
        <w:rPr>
          <w:rFonts w:ascii="Times New Roman" w:hAnsi="Times New Roman" w:cs="Times New Roman"/>
          <w:sz w:val="24"/>
          <w:szCs w:val="24"/>
        </w:rPr>
        <w:t xml:space="preserve"> </w:t>
      </w:r>
      <w:r w:rsidR="008750DB">
        <w:rPr>
          <w:rFonts w:ascii="Times New Roman" w:hAnsi="Times New Roman" w:cs="Times New Roman"/>
          <w:sz w:val="24"/>
          <w:szCs w:val="24"/>
        </w:rPr>
        <w:t xml:space="preserve">apurar os fatos </w:t>
      </w:r>
      <w:r w:rsidR="00391A67">
        <w:rPr>
          <w:rFonts w:ascii="Times New Roman" w:hAnsi="Times New Roman" w:cs="Times New Roman"/>
          <w:sz w:val="24"/>
          <w:szCs w:val="24"/>
        </w:rPr>
        <w:t>comunicados</w:t>
      </w:r>
      <w:r w:rsidR="008750DB">
        <w:rPr>
          <w:rFonts w:ascii="Times New Roman" w:hAnsi="Times New Roman" w:cs="Times New Roman"/>
          <w:sz w:val="24"/>
          <w:szCs w:val="24"/>
        </w:rPr>
        <w:t xml:space="preserve"> </w:t>
      </w:r>
      <w:r w:rsidR="00391A67">
        <w:rPr>
          <w:rFonts w:ascii="Times New Roman" w:hAnsi="Times New Roman" w:cs="Times New Roman"/>
          <w:sz w:val="24"/>
          <w:szCs w:val="24"/>
        </w:rPr>
        <w:t xml:space="preserve">à Defensoria Pública </w:t>
      </w:r>
      <w:r w:rsidR="002A21D8">
        <w:rPr>
          <w:rFonts w:ascii="Times New Roman" w:hAnsi="Times New Roman" w:cs="Times New Roman"/>
          <w:sz w:val="24"/>
          <w:szCs w:val="24"/>
        </w:rPr>
        <w:t>por profissional de saúde na data de</w:t>
      </w:r>
      <w:r w:rsidR="008750DB">
        <w:rPr>
          <w:rFonts w:ascii="Times New Roman" w:hAnsi="Times New Roman" w:cs="Times New Roman"/>
          <w:sz w:val="24"/>
          <w:szCs w:val="24"/>
        </w:rPr>
        <w:t xml:space="preserve"> 19/07/2022</w:t>
      </w:r>
      <w:r w:rsidR="002A21D8">
        <w:rPr>
          <w:rFonts w:ascii="Times New Roman" w:hAnsi="Times New Roman" w:cs="Times New Roman"/>
          <w:sz w:val="24"/>
          <w:szCs w:val="24"/>
        </w:rPr>
        <w:t>; b) averiguar os eventos</w:t>
      </w:r>
      <w:r w:rsidR="008750DB">
        <w:rPr>
          <w:rFonts w:ascii="Times New Roman" w:hAnsi="Times New Roman" w:cs="Times New Roman"/>
          <w:sz w:val="24"/>
          <w:szCs w:val="24"/>
        </w:rPr>
        <w:t xml:space="preserve"> </w:t>
      </w:r>
      <w:r w:rsidR="002A21D8">
        <w:rPr>
          <w:rFonts w:ascii="Times New Roman" w:hAnsi="Times New Roman" w:cs="Times New Roman"/>
          <w:sz w:val="24"/>
          <w:szCs w:val="24"/>
        </w:rPr>
        <w:t>relatados no</w:t>
      </w:r>
      <w:r w:rsidR="00391A67">
        <w:rPr>
          <w:rFonts w:ascii="Times New Roman" w:hAnsi="Times New Roman" w:cs="Times New Roman"/>
          <w:sz w:val="24"/>
          <w:szCs w:val="24"/>
        </w:rPr>
        <w:t xml:space="preserve"> boj</w:t>
      </w:r>
      <w:r w:rsidR="008750DB">
        <w:rPr>
          <w:rFonts w:ascii="Times New Roman" w:hAnsi="Times New Roman" w:cs="Times New Roman"/>
          <w:sz w:val="24"/>
          <w:szCs w:val="24"/>
        </w:rPr>
        <w:t>o</w:t>
      </w:r>
      <w:r w:rsidR="00391A67">
        <w:rPr>
          <w:rFonts w:ascii="Times New Roman" w:hAnsi="Times New Roman" w:cs="Times New Roman"/>
          <w:sz w:val="24"/>
          <w:szCs w:val="24"/>
        </w:rPr>
        <w:t xml:space="preserve"> do</w:t>
      </w:r>
      <w:r w:rsidR="008750DB">
        <w:rPr>
          <w:rFonts w:ascii="Times New Roman" w:hAnsi="Times New Roman" w:cs="Times New Roman"/>
          <w:sz w:val="24"/>
          <w:szCs w:val="24"/>
        </w:rPr>
        <w:t xml:space="preserve"> procedimento </w:t>
      </w:r>
      <w:r w:rsidR="002A21D8">
        <w:rPr>
          <w:rFonts w:ascii="Times New Roman" w:hAnsi="Times New Roman" w:cs="Times New Roman"/>
          <w:sz w:val="24"/>
          <w:szCs w:val="24"/>
        </w:rPr>
        <w:t xml:space="preserve">n. </w:t>
      </w:r>
      <w:r w:rsidR="00391A67">
        <w:rPr>
          <w:rFonts w:ascii="Times New Roman" w:hAnsi="Times New Roman" w:cs="Times New Roman"/>
          <w:color w:val="000000"/>
          <w:sz w:val="24"/>
          <w:szCs w:val="24"/>
        </w:rPr>
        <w:t xml:space="preserve">0207989-95.2022.8.13.0024, </w:t>
      </w:r>
      <w:r w:rsidR="00391A67">
        <w:rPr>
          <w:rFonts w:ascii="Times New Roman" w:hAnsi="Times New Roman" w:cs="Times New Roman"/>
          <w:sz w:val="24"/>
          <w:szCs w:val="24"/>
        </w:rPr>
        <w:t xml:space="preserve">em trâmite perante o </w:t>
      </w:r>
      <w:r w:rsidR="00391A67">
        <w:rPr>
          <w:rFonts w:ascii="Times New Roman" w:hAnsi="Times New Roman" w:cs="Times New Roman"/>
          <w:color w:val="000000"/>
          <w:sz w:val="24"/>
          <w:szCs w:val="24"/>
        </w:rPr>
        <w:t>Juízo da Vara Infracional da Infância e da Juventude de Belo Horizonte</w:t>
      </w:r>
      <w:r w:rsidR="002A21D8">
        <w:rPr>
          <w:rFonts w:ascii="Times New Roman" w:hAnsi="Times New Roman" w:cs="Times New Roman"/>
          <w:sz w:val="24"/>
          <w:szCs w:val="24"/>
        </w:rPr>
        <w:t>; c) apurar</w:t>
      </w:r>
      <w:r w:rsidR="00B100C3">
        <w:rPr>
          <w:rFonts w:ascii="Times New Roman" w:hAnsi="Times New Roman" w:cs="Times New Roman"/>
          <w:sz w:val="24"/>
          <w:szCs w:val="24"/>
        </w:rPr>
        <w:t xml:space="preserve"> </w:t>
      </w:r>
      <w:r w:rsidR="00BA2B6D">
        <w:rPr>
          <w:rFonts w:ascii="Times New Roman" w:hAnsi="Times New Roman" w:cs="Times New Roman"/>
          <w:sz w:val="24"/>
          <w:szCs w:val="24"/>
        </w:rPr>
        <w:t>eventuais</w:t>
      </w:r>
      <w:r w:rsidR="00B100C3">
        <w:rPr>
          <w:rFonts w:ascii="Times New Roman" w:hAnsi="Times New Roman" w:cs="Times New Roman"/>
          <w:sz w:val="24"/>
          <w:szCs w:val="24"/>
        </w:rPr>
        <w:t xml:space="preserve"> danos </w:t>
      </w:r>
      <w:r w:rsidR="00B100C3">
        <w:rPr>
          <w:rFonts w:ascii="Times New Roman" w:hAnsi="Times New Roman" w:cs="Times New Roman"/>
          <w:sz w:val="24"/>
          <w:szCs w:val="24"/>
        </w:rPr>
        <w:lastRenderedPageBreak/>
        <w:t xml:space="preserve">provocados a adolescentes no âmbito do </w:t>
      </w:r>
      <w:r w:rsidR="002A21D8">
        <w:rPr>
          <w:rFonts w:ascii="Times New Roman" w:hAnsi="Times New Roman" w:cs="Times New Roman"/>
          <w:sz w:val="24"/>
          <w:szCs w:val="24"/>
        </w:rPr>
        <w:t>S</w:t>
      </w:r>
      <w:r w:rsidR="00B100C3">
        <w:rPr>
          <w:rFonts w:ascii="Times New Roman" w:hAnsi="Times New Roman" w:cs="Times New Roman"/>
          <w:sz w:val="24"/>
          <w:szCs w:val="24"/>
        </w:rPr>
        <w:t xml:space="preserve">istema </w:t>
      </w:r>
      <w:r w:rsidR="002A21D8">
        <w:rPr>
          <w:rFonts w:ascii="Times New Roman" w:hAnsi="Times New Roman" w:cs="Times New Roman"/>
          <w:sz w:val="24"/>
          <w:szCs w:val="24"/>
        </w:rPr>
        <w:t>S</w:t>
      </w:r>
      <w:r w:rsidR="00B100C3">
        <w:rPr>
          <w:rFonts w:ascii="Times New Roman" w:hAnsi="Times New Roman" w:cs="Times New Roman"/>
          <w:sz w:val="24"/>
          <w:szCs w:val="24"/>
        </w:rPr>
        <w:t>ocioeducativo mineiro</w:t>
      </w:r>
      <w:r w:rsidR="00BA2B6D">
        <w:rPr>
          <w:rFonts w:ascii="Times New Roman" w:hAnsi="Times New Roman" w:cs="Times New Roman"/>
          <w:sz w:val="24"/>
          <w:szCs w:val="24"/>
        </w:rPr>
        <w:t xml:space="preserve"> relacionad</w:t>
      </w:r>
      <w:r w:rsidR="002A21D8">
        <w:rPr>
          <w:rFonts w:ascii="Times New Roman" w:hAnsi="Times New Roman" w:cs="Times New Roman"/>
          <w:sz w:val="24"/>
          <w:szCs w:val="24"/>
        </w:rPr>
        <w:t>os</w:t>
      </w:r>
      <w:r w:rsidR="00BA2B6D">
        <w:rPr>
          <w:rFonts w:ascii="Times New Roman" w:hAnsi="Times New Roman" w:cs="Times New Roman"/>
          <w:sz w:val="24"/>
          <w:szCs w:val="24"/>
        </w:rPr>
        <w:t xml:space="preserve"> com a diversidade sexual e </w:t>
      </w:r>
      <w:r w:rsidR="002A21D8">
        <w:rPr>
          <w:rFonts w:ascii="Times New Roman" w:hAnsi="Times New Roman" w:cs="Times New Roman"/>
          <w:sz w:val="24"/>
          <w:szCs w:val="24"/>
        </w:rPr>
        <w:t>a identidade de</w:t>
      </w:r>
      <w:r w:rsidR="00BA2B6D">
        <w:rPr>
          <w:rFonts w:ascii="Times New Roman" w:hAnsi="Times New Roman" w:cs="Times New Roman"/>
          <w:sz w:val="24"/>
          <w:szCs w:val="24"/>
        </w:rPr>
        <w:t xml:space="preserve"> gênero</w:t>
      </w:r>
      <w:r w:rsidR="002A21D8">
        <w:rPr>
          <w:rFonts w:ascii="Times New Roman" w:hAnsi="Times New Roman" w:cs="Times New Roman"/>
          <w:sz w:val="24"/>
          <w:szCs w:val="24"/>
        </w:rPr>
        <w:t xml:space="preserve">; d) </w:t>
      </w:r>
      <w:r w:rsidR="00BA2B6D">
        <w:rPr>
          <w:rFonts w:ascii="Times New Roman" w:hAnsi="Times New Roman" w:cs="Times New Roman"/>
          <w:sz w:val="24"/>
          <w:szCs w:val="24"/>
        </w:rPr>
        <w:t>acompanhar</w:t>
      </w:r>
      <w:r w:rsidR="00B100C3">
        <w:rPr>
          <w:rFonts w:ascii="Times New Roman" w:hAnsi="Times New Roman" w:cs="Times New Roman"/>
          <w:sz w:val="24"/>
          <w:szCs w:val="24"/>
        </w:rPr>
        <w:t xml:space="preserve"> a elaboração do Plano de Combate à Transfobia no Sistema Socioeducativo Mineiro</w:t>
      </w:r>
      <w:r w:rsidR="002A21D8">
        <w:rPr>
          <w:rFonts w:ascii="Times New Roman" w:hAnsi="Times New Roman" w:cs="Times New Roman"/>
          <w:sz w:val="24"/>
          <w:szCs w:val="24"/>
        </w:rPr>
        <w:t>; e) adotar</w:t>
      </w:r>
      <w:r w:rsidR="00B100C3">
        <w:rPr>
          <w:rFonts w:ascii="Times New Roman" w:hAnsi="Times New Roman" w:cs="Times New Roman"/>
          <w:sz w:val="24"/>
          <w:szCs w:val="24"/>
        </w:rPr>
        <w:t xml:space="preserve"> medidas de </w:t>
      </w:r>
      <w:r w:rsidR="00BA2B6D">
        <w:rPr>
          <w:rFonts w:ascii="Times New Roman" w:hAnsi="Times New Roman" w:cs="Times New Roman"/>
          <w:sz w:val="24"/>
          <w:szCs w:val="24"/>
        </w:rPr>
        <w:t xml:space="preserve">educação </w:t>
      </w:r>
      <w:r w:rsidR="00B100C3">
        <w:rPr>
          <w:rFonts w:ascii="Times New Roman" w:hAnsi="Times New Roman" w:cs="Times New Roman"/>
          <w:sz w:val="24"/>
          <w:szCs w:val="24"/>
        </w:rPr>
        <w:t xml:space="preserve">em direitos </w:t>
      </w:r>
      <w:r w:rsidR="00BA2B6D">
        <w:rPr>
          <w:rFonts w:ascii="Times New Roman" w:hAnsi="Times New Roman" w:cs="Times New Roman"/>
          <w:sz w:val="24"/>
          <w:szCs w:val="24"/>
        </w:rPr>
        <w:t>que promovam o pluralismo, a formação cidadã e o combate à discriminação.</w:t>
      </w:r>
    </w:p>
    <w:p w14:paraId="1962DC56" w14:textId="77777777" w:rsidR="005147C4" w:rsidRDefault="005147C4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BE040" w14:textId="63E53F17" w:rsidR="00286D89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tanto, determina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 a adoção das seguintes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diligências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6CB23FAD" w14:textId="77777777" w:rsidR="002A21D8" w:rsidRPr="00C913B4" w:rsidRDefault="002A21D8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AA0D7A" w14:textId="5995AEC6" w:rsidR="00985D01" w:rsidRDefault="00985D01" w:rsidP="00B100C3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juntada de </w:t>
      </w:r>
      <w:r w:rsidR="001815F0" w:rsidRP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ofícios, documentos e demais conteúdos relacionados ao caso;</w:t>
      </w:r>
    </w:p>
    <w:p w14:paraId="5E5EBF37" w14:textId="77777777" w:rsidR="00E04865" w:rsidRPr="00B100C3" w:rsidRDefault="00E04865" w:rsidP="00E04865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1C002BF" w14:textId="14C4BB2E" w:rsidR="00B100C3" w:rsidRDefault="00B100C3" w:rsidP="009C6D1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expedição de ofício à SUASE requisitando os dados dos adolescentes trans</w:t>
      </w:r>
      <w:r w:rsidR="002A21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exuais e travestis</w:t>
      </w:r>
      <w:r w:rsidRP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passaram pelo sistema socioeducativo mineiro nos últimos doze meses, indicando quais deles ainda </w:t>
      </w:r>
      <w:r w:rsidR="00190E41" w:rsidRP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encontram</w:t>
      </w:r>
      <w:r w:rsidRP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cumprimento de medida de privação de liberdade;</w:t>
      </w:r>
    </w:p>
    <w:p w14:paraId="6B490928" w14:textId="77777777" w:rsidR="002A21D8" w:rsidRDefault="002A21D8" w:rsidP="002A21D8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68FC648" w14:textId="6F2BBA01" w:rsidR="00B100C3" w:rsidRDefault="00B100C3" w:rsidP="009C6D1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solicita</w:t>
      </w:r>
      <w:r w:rsidR="002A21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SUASE</w:t>
      </w:r>
      <w:r w:rsidR="002A21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também,</w:t>
      </w:r>
      <w:r w:rsidR="002A21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cópia da ata da reunião de 15/07/2022 e 08/08/2022, relativos à elaboração do plano;</w:t>
      </w:r>
    </w:p>
    <w:p w14:paraId="49DBCAE5" w14:textId="77777777" w:rsidR="002A21D8" w:rsidRPr="002A21D8" w:rsidRDefault="002A21D8" w:rsidP="002A21D8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5D535F1" w14:textId="2C4C9035" w:rsidR="00B100C3" w:rsidRDefault="002A21D8" w:rsidP="009C6D1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expedição de </w:t>
      </w:r>
      <w:r w:rsid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190E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mail à coordenação da DEDICA-INFRACIONAL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solicitando cópia do procedimento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judicial </w:t>
      </w:r>
      <w:r w:rsid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do termo de declarações do atendimento da adolescente GEISA;</w:t>
      </w:r>
    </w:p>
    <w:p w14:paraId="1044FABA" w14:textId="77777777" w:rsidR="002A21D8" w:rsidRDefault="002A21D8" w:rsidP="002A21D8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9344762" w14:textId="5AF85F86" w:rsidR="00B100C3" w:rsidRDefault="002A21D8" w:rsidP="009C6D1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remessa de </w:t>
      </w:r>
      <w:r w:rsid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190E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mail à Dra</w:t>
      </w:r>
      <w:r w:rsidR="00B334E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Tatiane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Miranda</w:t>
      </w:r>
      <w:r w:rsid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Hospital </w:t>
      </w:r>
      <w:r w:rsid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João Paulo 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solicitando documentos e reunião;</w:t>
      </w:r>
    </w:p>
    <w:p w14:paraId="07C5390E" w14:textId="77777777" w:rsidR="002A21D8" w:rsidRPr="002A21D8" w:rsidRDefault="002A21D8" w:rsidP="002A21D8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F176584" w14:textId="2729F91E" w:rsidR="008972C0" w:rsidRPr="002A21D8" w:rsidRDefault="008972C0" w:rsidP="009C6D1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0C3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 de instrumentos extrajudiciais (ofícios, recomendações, informes técnico-jurídicos e outros) para atuação junto aos órgãos públicos responsáveis pela gestão de ensino, bem como para subsidiar o trabalho de Defensoras e Defensores Públicos da Criança e Adolescente quanto à matéria.</w:t>
      </w:r>
    </w:p>
    <w:p w14:paraId="1046AC3F" w14:textId="77777777" w:rsidR="002A21D8" w:rsidRPr="00B100C3" w:rsidRDefault="002A21D8" w:rsidP="002A21D8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7CE37DA" w14:textId="77777777" w:rsidR="00E04865" w:rsidRDefault="009F7907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Autue-se. Cumpra-se.</w:t>
      </w:r>
    </w:p>
    <w:p w14:paraId="6280E5F8" w14:textId="77777777" w:rsidR="00E04865" w:rsidRDefault="00E04865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95E434F" w14:textId="4D417060" w:rsidR="00286D89" w:rsidRPr="00C913B4" w:rsidRDefault="00286D89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Após, venham os autos conclusos para análise.</w:t>
      </w:r>
    </w:p>
    <w:p w14:paraId="46994966" w14:textId="77777777" w:rsidR="00E04865" w:rsidRDefault="00E04865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47AA89" w14:textId="060345CC" w:rsidR="00286D89" w:rsidRPr="00C913B4" w:rsidRDefault="009F7907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/MG, </w:t>
      </w:r>
      <w:r w:rsidR="00190E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 de agosto</w:t>
      </w:r>
      <w:r w:rsidR="00BC29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2022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D941B0A" w14:textId="219D9EF9" w:rsidR="00B100C3" w:rsidRDefault="00B100C3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6E8740D" w14:textId="77777777" w:rsidR="00B334EB" w:rsidRDefault="00B334EB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ED9A96C" w14:textId="77777777" w:rsidR="00B100C3" w:rsidRPr="00EB73C0" w:rsidRDefault="00B100C3" w:rsidP="00B100C3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 xml:space="preserve">Daniele </w:t>
      </w:r>
      <w:proofErr w:type="spellStart"/>
      <w:r>
        <w:rPr>
          <w:rFonts w:ascii="Calibri" w:hAnsi="Calibri" w:cs="Calibri"/>
          <w:b/>
          <w:smallCaps/>
          <w:color w:val="000000"/>
        </w:rPr>
        <w:t>Bellettato</w:t>
      </w:r>
      <w:proofErr w:type="spellEnd"/>
      <w:r>
        <w:rPr>
          <w:rFonts w:ascii="Calibri" w:hAnsi="Calibri" w:cs="Calibri"/>
          <w:b/>
          <w:smallCap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smallCaps/>
          <w:color w:val="000000"/>
        </w:rPr>
        <w:t>Nesrala</w:t>
      </w:r>
      <w:proofErr w:type="spellEnd"/>
    </w:p>
    <w:p w14:paraId="4F453F2B" w14:textId="77777777" w:rsidR="00B100C3" w:rsidRDefault="00B100C3" w:rsidP="00B100C3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Assessora Institucional da Defensoria Pública-Geral</w:t>
      </w:r>
    </w:p>
    <w:p w14:paraId="2E953189" w14:textId="77777777" w:rsidR="00B100C3" w:rsidRDefault="00B100C3" w:rsidP="00B100C3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800066">
        <w:rPr>
          <w:rFonts w:ascii="Calibri" w:hAnsi="Calibri" w:cs="Calibri"/>
          <w:b/>
          <w:smallCaps/>
          <w:color w:val="000000"/>
        </w:rPr>
        <w:t>Coordenadoria Estratégica de Defesa e Promoção dos Direitos das Crianças e Adolescentes</w:t>
      </w:r>
    </w:p>
    <w:p w14:paraId="2C9A113D" w14:textId="77777777" w:rsidR="00B100C3" w:rsidRPr="00C65783" w:rsidRDefault="00B100C3" w:rsidP="00B100C3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 xml:space="preserve">Defensora Pública - </w:t>
      </w:r>
      <w:proofErr w:type="spellStart"/>
      <w:r>
        <w:rPr>
          <w:rFonts w:ascii="Calibri" w:hAnsi="Calibri" w:cs="Calibri"/>
          <w:b/>
          <w:smallCaps/>
          <w:color w:val="000000"/>
        </w:rPr>
        <w:t>Madep</w:t>
      </w:r>
      <w:proofErr w:type="spellEnd"/>
      <w:r>
        <w:rPr>
          <w:rFonts w:ascii="Calibri" w:hAnsi="Calibri" w:cs="Calibri"/>
          <w:b/>
          <w:smallCaps/>
          <w:color w:val="000000"/>
        </w:rPr>
        <w:t xml:space="preserve"> 761</w:t>
      </w:r>
    </w:p>
    <w:p w14:paraId="39C4BDD5" w14:textId="0EB8D60A" w:rsidR="00C71A03" w:rsidRDefault="00C71A03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3F803C4" w14:textId="77777777" w:rsidR="00B334EB" w:rsidRDefault="00B334EB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F3A8A17" w14:textId="77777777" w:rsidR="008972C0" w:rsidRPr="00EB73C0" w:rsidRDefault="008972C0" w:rsidP="00C65783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Paulo Cesar Azevedo de Almeida</w:t>
      </w:r>
    </w:p>
    <w:p w14:paraId="43D05E29" w14:textId="77777777" w:rsidR="008972C0" w:rsidRPr="00EB73C0" w:rsidRDefault="008972C0" w:rsidP="00C65783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Coordenadoria Estratégica em Tutela Coletiva</w:t>
      </w:r>
    </w:p>
    <w:p w14:paraId="48C4830E" w14:textId="37E0D885" w:rsidR="008972C0" w:rsidRPr="00B334EB" w:rsidRDefault="008972C0" w:rsidP="00B334EB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Defensor Público</w:t>
      </w:r>
      <w:r w:rsidR="00B100C3">
        <w:rPr>
          <w:rFonts w:ascii="Calibri" w:hAnsi="Calibri" w:cs="Calibri"/>
          <w:b/>
          <w:smallCaps/>
          <w:color w:val="000000"/>
        </w:rPr>
        <w:t xml:space="preserve"> - </w:t>
      </w:r>
      <w:proofErr w:type="spellStart"/>
      <w:r w:rsidRPr="00EB73C0">
        <w:rPr>
          <w:rFonts w:ascii="Calibri" w:hAnsi="Calibri" w:cs="Calibri"/>
          <w:b/>
          <w:smallCaps/>
          <w:color w:val="000000"/>
        </w:rPr>
        <w:t>Madep</w:t>
      </w:r>
      <w:proofErr w:type="spellEnd"/>
      <w:r w:rsidRPr="00EB73C0">
        <w:rPr>
          <w:rFonts w:ascii="Calibri" w:hAnsi="Calibri" w:cs="Calibri"/>
          <w:b/>
          <w:smallCaps/>
          <w:color w:val="000000"/>
        </w:rPr>
        <w:t xml:space="preserve"> 883</w:t>
      </w:r>
    </w:p>
    <w:sectPr w:rsidR="008972C0" w:rsidRPr="00B334E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1839" w14:textId="77777777" w:rsidR="00B70B5C" w:rsidRDefault="00B70B5C">
      <w:pPr>
        <w:spacing w:after="0" w:line="240" w:lineRule="auto"/>
      </w:pPr>
      <w:r>
        <w:separator/>
      </w:r>
    </w:p>
  </w:endnote>
  <w:endnote w:type="continuationSeparator" w:id="0">
    <w:p w14:paraId="20F71296" w14:textId="77777777" w:rsidR="00B70B5C" w:rsidRDefault="00B7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523"/>
      <w:docPartObj>
        <w:docPartGallery w:val="Page Numbers (Bottom of Page)"/>
        <w:docPartUnique/>
      </w:docPartObj>
    </w:sdtPr>
    <w:sdtContent>
      <w:p w14:paraId="556A7662" w14:textId="77777777" w:rsidR="00E808D3" w:rsidRDefault="004565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3B1">
          <w:rPr>
            <w:noProof/>
          </w:rPr>
          <w:t>6</w:t>
        </w:r>
        <w:r>
          <w:fldChar w:fldCharType="end"/>
        </w:r>
      </w:p>
    </w:sdtContent>
  </w:sdt>
  <w:p w14:paraId="00292749" w14:textId="4ECB1852" w:rsidR="00472B25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704C6291" w14:textId="41D414A7" w:rsidR="00E808D3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</w:t>
    </w:r>
    <w:r w:rsidR="0049385D" w:rsidRPr="00472B25">
      <w:rPr>
        <w:rFonts w:ascii="Times New Roman" w:hAnsi="Times New Roman" w:cs="Times New Roman"/>
      </w:rPr>
      <w:t xml:space="preserve">, nº </w:t>
    </w:r>
    <w:r w:rsidRPr="00472B25">
      <w:rPr>
        <w:rFonts w:ascii="Times New Roman" w:hAnsi="Times New Roman" w:cs="Times New Roman"/>
      </w:rPr>
      <w:t>1707</w:t>
    </w:r>
    <w:r w:rsidR="0049385D" w:rsidRPr="00472B25">
      <w:rPr>
        <w:rFonts w:ascii="Times New Roman" w:hAnsi="Times New Roman" w:cs="Times New Roman"/>
      </w:rPr>
      <w:t xml:space="preserve">, </w:t>
    </w:r>
    <w:r w:rsidRPr="00472B25">
      <w:rPr>
        <w:rFonts w:ascii="Times New Roman" w:hAnsi="Times New Roman" w:cs="Times New Roman"/>
      </w:rPr>
      <w:t>7º andar,</w:t>
    </w:r>
    <w:r w:rsidR="0049385D" w:rsidRPr="00472B25">
      <w:rPr>
        <w:rFonts w:ascii="Times New Roman" w:hAnsi="Times New Roman" w:cs="Times New Roman"/>
      </w:rPr>
      <w:t xml:space="preserve"> Ba</w:t>
    </w:r>
    <w:r w:rsidRPr="00472B25">
      <w:rPr>
        <w:rFonts w:ascii="Times New Roman" w:hAnsi="Times New Roman" w:cs="Times New Roman"/>
      </w:rPr>
      <w:t>rro Preto, Belo Horizonte</w:t>
    </w:r>
    <w:r w:rsidR="0049385D" w:rsidRPr="00472B25">
      <w:rPr>
        <w:rFonts w:ascii="Times New Roman" w:hAnsi="Times New Roman" w:cs="Times New Roman"/>
      </w:rPr>
      <w:t>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54AA" w14:textId="77777777" w:rsidR="00B70B5C" w:rsidRDefault="00B70B5C">
      <w:pPr>
        <w:spacing w:after="0" w:line="240" w:lineRule="auto"/>
      </w:pPr>
      <w:r>
        <w:separator/>
      </w:r>
    </w:p>
  </w:footnote>
  <w:footnote w:type="continuationSeparator" w:id="0">
    <w:p w14:paraId="0025ECC5" w14:textId="77777777" w:rsidR="00B70B5C" w:rsidRDefault="00B70B5C">
      <w:pPr>
        <w:spacing w:after="0" w:line="240" w:lineRule="auto"/>
      </w:pPr>
      <w:r>
        <w:continuationSeparator/>
      </w:r>
    </w:p>
  </w:footnote>
  <w:footnote w:id="1">
    <w:p w14:paraId="6E8C10DA" w14:textId="4729E35C" w:rsidR="008236C9" w:rsidRPr="00457646" w:rsidRDefault="008236C9" w:rsidP="008236C9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457646">
        <w:rPr>
          <w:rFonts w:ascii="Times New Roman" w:hAnsi="Times New Roman"/>
        </w:rPr>
        <w:t xml:space="preserve">MOVIMENTO LIVRES &amp; IGUAIS. </w:t>
      </w:r>
      <w:r>
        <w:rPr>
          <w:rFonts w:ascii="Times New Roman" w:hAnsi="Times New Roman"/>
        </w:rPr>
        <w:t xml:space="preserve">Organização das </w:t>
      </w:r>
      <w:r w:rsidRPr="00457646">
        <w:rPr>
          <w:rFonts w:ascii="Times New Roman" w:hAnsi="Times New Roman"/>
        </w:rPr>
        <w:t>Nações Unidas. Glossário. Disponível em: &lt;https://www.unfe.org/</w:t>
      </w:r>
      <w:proofErr w:type="spellStart"/>
      <w:r w:rsidRPr="00457646">
        <w:rPr>
          <w:rFonts w:ascii="Times New Roman" w:hAnsi="Times New Roman"/>
        </w:rPr>
        <w:t>pt-pt</w:t>
      </w:r>
      <w:proofErr w:type="spellEnd"/>
      <w:r w:rsidRPr="00457646">
        <w:rPr>
          <w:rFonts w:ascii="Times New Roman" w:hAnsi="Times New Roman"/>
        </w:rPr>
        <w:t>/</w:t>
      </w:r>
      <w:proofErr w:type="spellStart"/>
      <w:r w:rsidRPr="00457646">
        <w:rPr>
          <w:rFonts w:ascii="Times New Roman" w:hAnsi="Times New Roman"/>
        </w:rPr>
        <w:t>definitions</w:t>
      </w:r>
      <w:proofErr w:type="spellEnd"/>
      <w:r w:rsidRPr="00457646">
        <w:rPr>
          <w:rFonts w:ascii="Times New Roman" w:hAnsi="Times New Roman"/>
        </w:rPr>
        <w:t>/&gt;. Acesso em: 09 ago. 2022.</w:t>
      </w:r>
    </w:p>
  </w:footnote>
  <w:footnote w:id="2">
    <w:p w14:paraId="768BC606" w14:textId="119F368B" w:rsidR="000B4B29" w:rsidRPr="00457646" w:rsidRDefault="000B4B29">
      <w:pPr>
        <w:pStyle w:val="Textodenotaderodap"/>
        <w:rPr>
          <w:rFonts w:ascii="Times New Roman" w:hAnsi="Times New Roman"/>
        </w:rPr>
      </w:pPr>
      <w:r w:rsidRPr="00457646">
        <w:rPr>
          <w:rStyle w:val="Refdenotaderodap"/>
          <w:rFonts w:ascii="Times New Roman" w:hAnsi="Times New Roman"/>
        </w:rPr>
        <w:footnoteRef/>
      </w:r>
      <w:r w:rsidRPr="00457646">
        <w:rPr>
          <w:rFonts w:ascii="Times New Roman" w:hAnsi="Times New Roman"/>
        </w:rPr>
        <w:t xml:space="preserve"> CARVALHO, Salo. Sobre as possibilidades de uma criminologia queer. Sistema Penal &amp; Violência, Porto Alegre, v. 4, n. 2, p. 151-168, </w:t>
      </w:r>
      <w:proofErr w:type="spellStart"/>
      <w:r w:rsidRPr="00457646">
        <w:rPr>
          <w:rFonts w:ascii="Times New Roman" w:hAnsi="Times New Roman"/>
        </w:rPr>
        <w:t>jul</w:t>
      </w:r>
      <w:proofErr w:type="spellEnd"/>
      <w:r w:rsidRPr="00457646">
        <w:rPr>
          <w:rFonts w:ascii="Times New Roman" w:hAnsi="Times New Roman"/>
        </w:rPr>
        <w:t>-dez. 2012.</w:t>
      </w:r>
    </w:p>
  </w:footnote>
  <w:footnote w:id="3">
    <w:p w14:paraId="0AEF9425" w14:textId="642DD821" w:rsidR="00B17688" w:rsidRPr="00457646" w:rsidRDefault="00B17688" w:rsidP="00B17688">
      <w:pPr>
        <w:pStyle w:val="Textodenotaderodap"/>
        <w:rPr>
          <w:rFonts w:ascii="Times New Roman" w:hAnsi="Times New Roman"/>
        </w:rPr>
      </w:pPr>
      <w:r w:rsidRPr="00457646">
        <w:rPr>
          <w:rStyle w:val="Refdenotaderodap"/>
          <w:rFonts w:ascii="Times New Roman" w:hAnsi="Times New Roman"/>
        </w:rPr>
        <w:footnoteRef/>
      </w:r>
      <w:r w:rsidRPr="00457646">
        <w:rPr>
          <w:rFonts w:ascii="Times New Roman" w:hAnsi="Times New Roman"/>
        </w:rPr>
        <w:t xml:space="preserve"> ASSOCIAÇÃO BRASILEIRA DE LÉSBICAS, GAYS, BISSEXUAIS, TRAVESTIS, TRANSEXUAIS E INTERSEXOS</w:t>
      </w:r>
      <w:r w:rsidR="00E502F8">
        <w:rPr>
          <w:rFonts w:ascii="Times New Roman" w:hAnsi="Times New Roman"/>
        </w:rPr>
        <w:t xml:space="preserve"> - </w:t>
      </w:r>
      <w:r w:rsidR="00E502F8" w:rsidRPr="00457646">
        <w:rPr>
          <w:rFonts w:ascii="Times New Roman" w:hAnsi="Times New Roman"/>
        </w:rPr>
        <w:t>ABGLT</w:t>
      </w:r>
      <w:r w:rsidRPr="00457646">
        <w:rPr>
          <w:rFonts w:ascii="Times New Roman" w:hAnsi="Times New Roman"/>
        </w:rPr>
        <w:t>. Secretaria de Educação. Pesquisa Nacional sobre o Ambiente Educacional no Brasil 2016. Disponível em: &lt;</w:t>
      </w:r>
      <w:hyperlink r:id="rId1" w:history="1">
        <w:r w:rsidRPr="00457646">
          <w:rPr>
            <w:rStyle w:val="Hyperlink"/>
            <w:rFonts w:ascii="Times New Roman" w:eastAsiaTheme="majorEastAsia" w:hAnsi="Times New Roman"/>
            <w:color w:val="auto"/>
            <w:u w:val="none"/>
          </w:rPr>
          <w:t>https://www.grupodignidade.org.br/wp-content/uploads/2016/03/IAE-Brasil-Web-3-1.pdf</w:t>
        </w:r>
      </w:hyperlink>
      <w:r w:rsidRPr="00457646">
        <w:rPr>
          <w:rFonts w:ascii="Times New Roman" w:hAnsi="Times New Roman"/>
        </w:rPr>
        <w:t xml:space="preserve">&gt;. Acesso em </w:t>
      </w:r>
      <w:r w:rsidR="00E502F8">
        <w:rPr>
          <w:rFonts w:ascii="Times New Roman" w:hAnsi="Times New Roman"/>
        </w:rPr>
        <w:t>10</w:t>
      </w:r>
      <w:r w:rsidRPr="00457646">
        <w:rPr>
          <w:rFonts w:ascii="Times New Roman" w:hAnsi="Times New Roman"/>
        </w:rPr>
        <w:t xml:space="preserve"> de </w:t>
      </w:r>
      <w:r w:rsidR="00E502F8">
        <w:rPr>
          <w:rFonts w:ascii="Times New Roman" w:hAnsi="Times New Roman"/>
        </w:rPr>
        <w:t>agosto</w:t>
      </w:r>
      <w:r w:rsidRPr="00457646">
        <w:rPr>
          <w:rFonts w:ascii="Times New Roman" w:hAnsi="Times New Roman"/>
        </w:rPr>
        <w:t xml:space="preserve"> de 202</w:t>
      </w:r>
      <w:r w:rsidR="00A64661" w:rsidRPr="00457646">
        <w:rPr>
          <w:rFonts w:ascii="Times New Roman" w:hAnsi="Times New Roman"/>
        </w:rPr>
        <w:t>2</w:t>
      </w:r>
      <w:r w:rsidRPr="00457646">
        <w:rPr>
          <w:rFonts w:ascii="Times New Roman" w:hAnsi="Times New Roman"/>
        </w:rPr>
        <w:t>.</w:t>
      </w:r>
    </w:p>
  </w:footnote>
  <w:footnote w:id="4">
    <w:p w14:paraId="2413113B" w14:textId="46D4FFB0" w:rsidR="00B17688" w:rsidRPr="00457646" w:rsidRDefault="00B17688" w:rsidP="00B17688">
      <w:pPr>
        <w:pStyle w:val="Textodenotaderodap"/>
        <w:rPr>
          <w:rFonts w:ascii="Times New Roman" w:hAnsi="Times New Roman"/>
        </w:rPr>
      </w:pPr>
      <w:r w:rsidRPr="00457646">
        <w:rPr>
          <w:rStyle w:val="Refdenotaderodap"/>
          <w:rFonts w:ascii="Times New Roman" w:hAnsi="Times New Roman"/>
        </w:rPr>
        <w:footnoteRef/>
      </w:r>
      <w:r w:rsidRPr="00457646">
        <w:rPr>
          <w:rFonts w:ascii="Times New Roman" w:hAnsi="Times New Roman"/>
        </w:rPr>
        <w:t xml:space="preserve"> BENEVIDES, Bruna. NOGUEIRA, Sayonara Naider Bonfim. Dossiê dos assassinatos e da violência contra travestis e transexuais brasileiras em 2020. São Paulo: Expressão Popular, 2021. p. 37/38.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EF0" w14:textId="77777777" w:rsidR="00E808D3" w:rsidRDefault="004565C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410B7F" wp14:editId="0A62F3DC">
          <wp:extent cx="1080000" cy="10800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2F203" w14:textId="77777777" w:rsidR="00E808D3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9BE"/>
    <w:multiLevelType w:val="hybridMultilevel"/>
    <w:tmpl w:val="6AD02F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C71BE"/>
    <w:multiLevelType w:val="hybridMultilevel"/>
    <w:tmpl w:val="6DACF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96546">
    <w:abstractNumId w:val="5"/>
  </w:num>
  <w:num w:numId="2" w16cid:durableId="1784422265">
    <w:abstractNumId w:val="4"/>
  </w:num>
  <w:num w:numId="3" w16cid:durableId="327177444">
    <w:abstractNumId w:val="2"/>
  </w:num>
  <w:num w:numId="4" w16cid:durableId="910651918">
    <w:abstractNumId w:val="1"/>
  </w:num>
  <w:num w:numId="5" w16cid:durableId="1491487488">
    <w:abstractNumId w:val="3"/>
  </w:num>
  <w:num w:numId="6" w16cid:durableId="133923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617"/>
    <w:rsid w:val="00042106"/>
    <w:rsid w:val="000454D8"/>
    <w:rsid w:val="0006102D"/>
    <w:rsid w:val="000724D4"/>
    <w:rsid w:val="00075CDF"/>
    <w:rsid w:val="00086530"/>
    <w:rsid w:val="000952DE"/>
    <w:rsid w:val="000955EA"/>
    <w:rsid w:val="000B4B29"/>
    <w:rsid w:val="000C4B17"/>
    <w:rsid w:val="000E567D"/>
    <w:rsid w:val="00112A98"/>
    <w:rsid w:val="00112D8E"/>
    <w:rsid w:val="0012603A"/>
    <w:rsid w:val="00137DD2"/>
    <w:rsid w:val="00145975"/>
    <w:rsid w:val="001815F0"/>
    <w:rsid w:val="00190E41"/>
    <w:rsid w:val="00196CEE"/>
    <w:rsid w:val="001B417C"/>
    <w:rsid w:val="001C1F47"/>
    <w:rsid w:val="001C7557"/>
    <w:rsid w:val="001D2406"/>
    <w:rsid w:val="001E68A4"/>
    <w:rsid w:val="00214642"/>
    <w:rsid w:val="00217C6A"/>
    <w:rsid w:val="00232B0C"/>
    <w:rsid w:val="00234A07"/>
    <w:rsid w:val="00235232"/>
    <w:rsid w:val="0024476E"/>
    <w:rsid w:val="00254886"/>
    <w:rsid w:val="0025773A"/>
    <w:rsid w:val="00260C31"/>
    <w:rsid w:val="00284F28"/>
    <w:rsid w:val="00286D89"/>
    <w:rsid w:val="002925FE"/>
    <w:rsid w:val="00292BCE"/>
    <w:rsid w:val="00295B9F"/>
    <w:rsid w:val="002A21D8"/>
    <w:rsid w:val="002D58C5"/>
    <w:rsid w:val="00322C6F"/>
    <w:rsid w:val="00330811"/>
    <w:rsid w:val="00347B72"/>
    <w:rsid w:val="003518F3"/>
    <w:rsid w:val="00366A7D"/>
    <w:rsid w:val="00366E15"/>
    <w:rsid w:val="00391A67"/>
    <w:rsid w:val="00397673"/>
    <w:rsid w:val="003D4BF5"/>
    <w:rsid w:val="003F02B8"/>
    <w:rsid w:val="003F4D52"/>
    <w:rsid w:val="0041228A"/>
    <w:rsid w:val="004213AB"/>
    <w:rsid w:val="00425DAC"/>
    <w:rsid w:val="00445B73"/>
    <w:rsid w:val="0045448B"/>
    <w:rsid w:val="004565CA"/>
    <w:rsid w:val="00457646"/>
    <w:rsid w:val="00466DD7"/>
    <w:rsid w:val="00472B25"/>
    <w:rsid w:val="004741B3"/>
    <w:rsid w:val="0049385D"/>
    <w:rsid w:val="00507870"/>
    <w:rsid w:val="005147C4"/>
    <w:rsid w:val="0055089B"/>
    <w:rsid w:val="00556DA9"/>
    <w:rsid w:val="00570E7F"/>
    <w:rsid w:val="005754CD"/>
    <w:rsid w:val="005944EE"/>
    <w:rsid w:val="005966F9"/>
    <w:rsid w:val="005D2519"/>
    <w:rsid w:val="005E4EA2"/>
    <w:rsid w:val="005F68F8"/>
    <w:rsid w:val="00600187"/>
    <w:rsid w:val="00600666"/>
    <w:rsid w:val="00634617"/>
    <w:rsid w:val="00654F46"/>
    <w:rsid w:val="00657086"/>
    <w:rsid w:val="006648B2"/>
    <w:rsid w:val="0068299F"/>
    <w:rsid w:val="00690EA8"/>
    <w:rsid w:val="00693BE4"/>
    <w:rsid w:val="00694B0F"/>
    <w:rsid w:val="00695E32"/>
    <w:rsid w:val="006967B7"/>
    <w:rsid w:val="006B224C"/>
    <w:rsid w:val="006D5EE4"/>
    <w:rsid w:val="006E03B1"/>
    <w:rsid w:val="006E6471"/>
    <w:rsid w:val="0071083D"/>
    <w:rsid w:val="00713EB2"/>
    <w:rsid w:val="0071495A"/>
    <w:rsid w:val="00730C1D"/>
    <w:rsid w:val="00737D48"/>
    <w:rsid w:val="00760763"/>
    <w:rsid w:val="00765E20"/>
    <w:rsid w:val="00784391"/>
    <w:rsid w:val="00786534"/>
    <w:rsid w:val="007B090D"/>
    <w:rsid w:val="007B44BC"/>
    <w:rsid w:val="007C4CC9"/>
    <w:rsid w:val="007D7E4A"/>
    <w:rsid w:val="007E1087"/>
    <w:rsid w:val="00804E2D"/>
    <w:rsid w:val="008236C9"/>
    <w:rsid w:val="00836A50"/>
    <w:rsid w:val="00850DF5"/>
    <w:rsid w:val="00851D40"/>
    <w:rsid w:val="0086013D"/>
    <w:rsid w:val="00867538"/>
    <w:rsid w:val="008750DB"/>
    <w:rsid w:val="0087780D"/>
    <w:rsid w:val="00883A61"/>
    <w:rsid w:val="00896E0C"/>
    <w:rsid w:val="008972C0"/>
    <w:rsid w:val="008A09B3"/>
    <w:rsid w:val="008B6341"/>
    <w:rsid w:val="008C4785"/>
    <w:rsid w:val="008C6E1A"/>
    <w:rsid w:val="008D2516"/>
    <w:rsid w:val="008F0909"/>
    <w:rsid w:val="008F705E"/>
    <w:rsid w:val="00917DB7"/>
    <w:rsid w:val="00940D67"/>
    <w:rsid w:val="0094437C"/>
    <w:rsid w:val="00980FDB"/>
    <w:rsid w:val="00985D01"/>
    <w:rsid w:val="0098681C"/>
    <w:rsid w:val="00990E1C"/>
    <w:rsid w:val="009965BF"/>
    <w:rsid w:val="009A5509"/>
    <w:rsid w:val="009B552A"/>
    <w:rsid w:val="009C084E"/>
    <w:rsid w:val="009C6D1D"/>
    <w:rsid w:val="009E3C0A"/>
    <w:rsid w:val="009E6D45"/>
    <w:rsid w:val="009F4BBA"/>
    <w:rsid w:val="009F7907"/>
    <w:rsid w:val="00A22EB5"/>
    <w:rsid w:val="00A34861"/>
    <w:rsid w:val="00A47607"/>
    <w:rsid w:val="00A55A60"/>
    <w:rsid w:val="00A64661"/>
    <w:rsid w:val="00A744AF"/>
    <w:rsid w:val="00A8122A"/>
    <w:rsid w:val="00A83A7E"/>
    <w:rsid w:val="00A9311C"/>
    <w:rsid w:val="00AB0A07"/>
    <w:rsid w:val="00AB3257"/>
    <w:rsid w:val="00AC45B8"/>
    <w:rsid w:val="00AD11BA"/>
    <w:rsid w:val="00AD657B"/>
    <w:rsid w:val="00B066D7"/>
    <w:rsid w:val="00B100C3"/>
    <w:rsid w:val="00B11715"/>
    <w:rsid w:val="00B11827"/>
    <w:rsid w:val="00B17688"/>
    <w:rsid w:val="00B203A1"/>
    <w:rsid w:val="00B31C6E"/>
    <w:rsid w:val="00B334EB"/>
    <w:rsid w:val="00B36135"/>
    <w:rsid w:val="00B66809"/>
    <w:rsid w:val="00B70B5C"/>
    <w:rsid w:val="00B76E90"/>
    <w:rsid w:val="00B95FE5"/>
    <w:rsid w:val="00BA04A6"/>
    <w:rsid w:val="00BA1D3D"/>
    <w:rsid w:val="00BA2084"/>
    <w:rsid w:val="00BA2B6D"/>
    <w:rsid w:val="00BB4365"/>
    <w:rsid w:val="00BB6DDD"/>
    <w:rsid w:val="00BC290B"/>
    <w:rsid w:val="00BE7E7F"/>
    <w:rsid w:val="00C0013A"/>
    <w:rsid w:val="00C03720"/>
    <w:rsid w:val="00C07857"/>
    <w:rsid w:val="00C23C7E"/>
    <w:rsid w:val="00C30D6E"/>
    <w:rsid w:val="00C33776"/>
    <w:rsid w:val="00C43BEB"/>
    <w:rsid w:val="00C4668F"/>
    <w:rsid w:val="00C47054"/>
    <w:rsid w:val="00C65783"/>
    <w:rsid w:val="00C66548"/>
    <w:rsid w:val="00C71A03"/>
    <w:rsid w:val="00C73AD6"/>
    <w:rsid w:val="00C76B8D"/>
    <w:rsid w:val="00C913B4"/>
    <w:rsid w:val="00CD0A74"/>
    <w:rsid w:val="00CD4848"/>
    <w:rsid w:val="00CE5FA2"/>
    <w:rsid w:val="00CE6048"/>
    <w:rsid w:val="00CE7924"/>
    <w:rsid w:val="00CF776C"/>
    <w:rsid w:val="00D057F2"/>
    <w:rsid w:val="00D10E12"/>
    <w:rsid w:val="00D1399F"/>
    <w:rsid w:val="00D26AAA"/>
    <w:rsid w:val="00D26F6C"/>
    <w:rsid w:val="00D3250F"/>
    <w:rsid w:val="00D56C36"/>
    <w:rsid w:val="00D94E3B"/>
    <w:rsid w:val="00DA1C85"/>
    <w:rsid w:val="00DC1CBC"/>
    <w:rsid w:val="00DC271C"/>
    <w:rsid w:val="00DD24C7"/>
    <w:rsid w:val="00DD35B4"/>
    <w:rsid w:val="00DE1BC6"/>
    <w:rsid w:val="00DE7E72"/>
    <w:rsid w:val="00E02CCA"/>
    <w:rsid w:val="00E04865"/>
    <w:rsid w:val="00E16C9B"/>
    <w:rsid w:val="00E24E93"/>
    <w:rsid w:val="00E313CF"/>
    <w:rsid w:val="00E4163D"/>
    <w:rsid w:val="00E502F8"/>
    <w:rsid w:val="00E70936"/>
    <w:rsid w:val="00E711DB"/>
    <w:rsid w:val="00EB3F35"/>
    <w:rsid w:val="00EC7C26"/>
    <w:rsid w:val="00EE42D1"/>
    <w:rsid w:val="00EE5540"/>
    <w:rsid w:val="00F34E7B"/>
    <w:rsid w:val="00F359D6"/>
    <w:rsid w:val="00F37E21"/>
    <w:rsid w:val="00F4244E"/>
    <w:rsid w:val="00F4624A"/>
    <w:rsid w:val="00F6205E"/>
    <w:rsid w:val="00F64423"/>
    <w:rsid w:val="00F7624F"/>
    <w:rsid w:val="00F80D7D"/>
    <w:rsid w:val="00F829CF"/>
    <w:rsid w:val="00F8405D"/>
    <w:rsid w:val="00F9520B"/>
    <w:rsid w:val="00FA1E11"/>
    <w:rsid w:val="00FA6B7B"/>
    <w:rsid w:val="00FC170C"/>
    <w:rsid w:val="00FD4893"/>
    <w:rsid w:val="00FD675D"/>
    <w:rsid w:val="00FE6DF7"/>
    <w:rsid w:val="0DC1C3AE"/>
    <w:rsid w:val="6F17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DF7B"/>
  <w15:docId w15:val="{6D95EBDB-D9B7-49A7-9459-B33943C3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character" w:styleId="nfase">
    <w:name w:val="Emphasis"/>
    <w:basedOn w:val="Fontepargpadro"/>
    <w:uiPriority w:val="20"/>
    <w:qFormat/>
    <w:rsid w:val="006967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upodignidade.org.br/wp-content/uploads/2016/03/IAE-Brasil-Web-3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78850-063E-4DB0-BF43-B09349DF6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B9559-BBB0-4087-8D2A-CD29FC5FE71A}"/>
</file>

<file path=customXml/itemProps3.xml><?xml version="1.0" encoding="utf-8"?>
<ds:datastoreItem xmlns:ds="http://schemas.openxmlformats.org/officeDocument/2006/customXml" ds:itemID="{131465A3-CD56-4484-AA88-5E29991F8A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10</Pages>
  <Words>2678</Words>
  <Characters>14465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21</cp:revision>
  <cp:lastPrinted>2022-08-08T18:38:00Z</cp:lastPrinted>
  <dcterms:created xsi:type="dcterms:W3CDTF">2022-08-08T18:20:00Z</dcterms:created>
  <dcterms:modified xsi:type="dcterms:W3CDTF">2022-08-11T14:27:00Z</dcterms:modified>
</cp:coreProperties>
</file>