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98BB" w14:textId="77777777" w:rsidR="00CE731F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14:paraId="296F4854" w14:textId="77777777" w:rsidR="00CE731F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2D3684E0" w14:textId="77777777" w:rsidR="00CE731F" w:rsidRDefault="00CE731F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42553023" w14:textId="77777777" w:rsidR="002348A3" w:rsidRDefault="002348A3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178ECFC1" w14:textId="548B2FB5" w:rsidR="00CE731F" w:rsidRPr="002A27D3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7D3">
        <w:rPr>
          <w:rFonts w:ascii="Times New Roman" w:eastAsia="Times New Roman" w:hAnsi="Times New Roman" w:cs="Times New Roman"/>
          <w:b/>
          <w:sz w:val="24"/>
          <w:szCs w:val="24"/>
        </w:rPr>
        <w:t>PTAC nº 0</w:t>
      </w:r>
      <w:r w:rsidR="00AA7134" w:rsidRPr="002A27D3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Pr="002A27D3">
        <w:rPr>
          <w:rFonts w:ascii="Times New Roman" w:eastAsia="Times New Roman" w:hAnsi="Times New Roman" w:cs="Times New Roman"/>
          <w:b/>
          <w:sz w:val="24"/>
          <w:szCs w:val="24"/>
        </w:rPr>
        <w:t>/2024</w:t>
      </w:r>
    </w:p>
    <w:p w14:paraId="5CC4D8A8" w14:textId="77777777" w:rsidR="00CE731F" w:rsidRPr="002A27D3" w:rsidRDefault="00CE731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26E04E" w14:textId="77777777" w:rsidR="002348A3" w:rsidRPr="002A27D3" w:rsidRDefault="002348A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C7E193" w14:textId="1DCE87CB" w:rsidR="00CE731F" w:rsidRPr="002A27D3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ind w:left="19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7D3"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Carnaval de Belo Horizonte de 2024. Articulação com </w:t>
      </w:r>
      <w:r w:rsidR="00466C3F" w:rsidRPr="002A27D3">
        <w:rPr>
          <w:rFonts w:ascii="Times New Roman" w:eastAsia="Times New Roman" w:hAnsi="Times New Roman" w:cs="Times New Roman"/>
          <w:b/>
          <w:sz w:val="24"/>
          <w:szCs w:val="24"/>
        </w:rPr>
        <w:t xml:space="preserve">a Prefeitura e </w:t>
      </w:r>
      <w:r w:rsidRPr="002A27D3">
        <w:rPr>
          <w:rFonts w:ascii="Times New Roman" w:eastAsia="Times New Roman" w:hAnsi="Times New Roman" w:cs="Times New Roman"/>
          <w:b/>
          <w:sz w:val="24"/>
          <w:szCs w:val="24"/>
        </w:rPr>
        <w:t>órgãos da Administração Direta e Indireta do Municípi</w:t>
      </w:r>
      <w:r w:rsidR="00AA7134" w:rsidRPr="002A27D3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466C3F" w:rsidRPr="002A27D3">
        <w:rPr>
          <w:rFonts w:ascii="Times New Roman" w:eastAsia="Times New Roman" w:hAnsi="Times New Roman" w:cs="Times New Roman"/>
          <w:b/>
          <w:sz w:val="24"/>
          <w:szCs w:val="24"/>
        </w:rPr>
        <w:t>, Governo Estadual e Polícia Militar</w:t>
      </w:r>
      <w:r w:rsidR="00AA7134" w:rsidRPr="002A27D3">
        <w:rPr>
          <w:rFonts w:ascii="Times New Roman" w:eastAsia="Times New Roman" w:hAnsi="Times New Roman" w:cs="Times New Roman"/>
          <w:b/>
          <w:sz w:val="24"/>
          <w:szCs w:val="24"/>
        </w:rPr>
        <w:t xml:space="preserve"> para garantia de direitos de grupos vulnerabilizados</w:t>
      </w:r>
      <w:r w:rsidR="00466C3F" w:rsidRPr="002A27D3">
        <w:rPr>
          <w:rFonts w:ascii="Times New Roman" w:eastAsia="Times New Roman" w:hAnsi="Times New Roman" w:cs="Times New Roman"/>
          <w:b/>
          <w:sz w:val="24"/>
          <w:szCs w:val="24"/>
        </w:rPr>
        <w:t xml:space="preserve"> e prevenção à violência.</w:t>
      </w:r>
      <w:r w:rsidRPr="002A27D3">
        <w:rPr>
          <w:rFonts w:ascii="Times New Roman" w:eastAsia="Times New Roman" w:hAnsi="Times New Roman" w:cs="Times New Roman"/>
          <w:b/>
          <w:sz w:val="24"/>
          <w:szCs w:val="24"/>
        </w:rPr>
        <w:t xml:space="preserve"> Elaboração de protocolos de segurança,</w:t>
      </w:r>
      <w:r w:rsidR="00466C3F" w:rsidRPr="002A27D3">
        <w:rPr>
          <w:rFonts w:ascii="Times New Roman" w:eastAsia="Times New Roman" w:hAnsi="Times New Roman" w:cs="Times New Roman"/>
          <w:b/>
          <w:sz w:val="24"/>
          <w:szCs w:val="24"/>
        </w:rPr>
        <w:t xml:space="preserve"> acesso ao</w:t>
      </w:r>
      <w:r w:rsidRPr="002A27D3">
        <w:rPr>
          <w:rFonts w:ascii="Times New Roman" w:eastAsia="Times New Roman" w:hAnsi="Times New Roman" w:cs="Times New Roman"/>
          <w:b/>
          <w:sz w:val="24"/>
          <w:szCs w:val="24"/>
        </w:rPr>
        <w:t xml:space="preserve"> transporte </w:t>
      </w:r>
      <w:r w:rsidR="00466C3F" w:rsidRPr="002A27D3">
        <w:rPr>
          <w:rFonts w:ascii="Times New Roman" w:eastAsia="Times New Roman" w:hAnsi="Times New Roman" w:cs="Times New Roman"/>
          <w:b/>
          <w:sz w:val="24"/>
          <w:szCs w:val="24"/>
        </w:rPr>
        <w:t xml:space="preserve">público, </w:t>
      </w:r>
      <w:r w:rsidRPr="002A27D3">
        <w:rPr>
          <w:rFonts w:ascii="Times New Roman" w:eastAsia="Times New Roman" w:hAnsi="Times New Roman" w:cs="Times New Roman"/>
          <w:b/>
          <w:sz w:val="24"/>
          <w:szCs w:val="24"/>
        </w:rPr>
        <w:t xml:space="preserve">mobilidade </w:t>
      </w:r>
      <w:r w:rsidR="00AA7134" w:rsidRPr="002A27D3">
        <w:rPr>
          <w:rFonts w:ascii="Times New Roman" w:eastAsia="Times New Roman" w:hAnsi="Times New Roman" w:cs="Times New Roman"/>
          <w:b/>
          <w:sz w:val="24"/>
          <w:szCs w:val="24"/>
        </w:rPr>
        <w:t xml:space="preserve">urbana, direito à cidade e dignidade </w:t>
      </w:r>
      <w:r w:rsidR="00466C3F" w:rsidRPr="002A27D3"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r w:rsidRPr="002A27D3">
        <w:rPr>
          <w:rFonts w:ascii="Times New Roman" w:eastAsia="Times New Roman" w:hAnsi="Times New Roman" w:cs="Times New Roman"/>
          <w:b/>
          <w:sz w:val="24"/>
          <w:szCs w:val="24"/>
        </w:rPr>
        <w:t xml:space="preserve"> foli</w:t>
      </w:r>
      <w:r w:rsidR="00AA7134" w:rsidRPr="002A27D3">
        <w:rPr>
          <w:rFonts w:ascii="Times New Roman" w:eastAsia="Times New Roman" w:hAnsi="Times New Roman" w:cs="Times New Roman"/>
          <w:b/>
          <w:sz w:val="24"/>
          <w:szCs w:val="24"/>
        </w:rPr>
        <w:t>ãs</w:t>
      </w:r>
      <w:r w:rsidRPr="002A27D3">
        <w:rPr>
          <w:rFonts w:ascii="Times New Roman" w:eastAsia="Times New Roman" w:hAnsi="Times New Roman" w:cs="Times New Roman"/>
          <w:b/>
          <w:sz w:val="24"/>
          <w:szCs w:val="24"/>
        </w:rPr>
        <w:t>, foli</w:t>
      </w:r>
      <w:r w:rsidR="00AA7134" w:rsidRPr="002A27D3">
        <w:rPr>
          <w:rFonts w:ascii="Times New Roman" w:eastAsia="Times New Roman" w:hAnsi="Times New Roman" w:cs="Times New Roman"/>
          <w:b/>
          <w:sz w:val="24"/>
          <w:szCs w:val="24"/>
        </w:rPr>
        <w:t>ões, trabalhadoras</w:t>
      </w:r>
      <w:r w:rsidR="00466C3F" w:rsidRPr="002A27D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AA7134" w:rsidRPr="002A27D3">
        <w:rPr>
          <w:rFonts w:ascii="Times New Roman" w:eastAsia="Times New Roman" w:hAnsi="Times New Roman" w:cs="Times New Roman"/>
          <w:b/>
          <w:sz w:val="24"/>
          <w:szCs w:val="24"/>
        </w:rPr>
        <w:t xml:space="preserve"> trabalhadores e </w:t>
      </w:r>
      <w:r w:rsidRPr="002A27D3">
        <w:rPr>
          <w:rFonts w:ascii="Times New Roman" w:eastAsia="Times New Roman" w:hAnsi="Times New Roman" w:cs="Times New Roman"/>
          <w:b/>
          <w:sz w:val="24"/>
          <w:szCs w:val="24"/>
        </w:rPr>
        <w:t xml:space="preserve">demais </w:t>
      </w:r>
      <w:r w:rsidR="00466C3F" w:rsidRPr="002A27D3">
        <w:rPr>
          <w:rFonts w:ascii="Times New Roman" w:eastAsia="Times New Roman" w:hAnsi="Times New Roman" w:cs="Times New Roman"/>
          <w:b/>
          <w:sz w:val="24"/>
          <w:szCs w:val="24"/>
        </w:rPr>
        <w:t xml:space="preserve">pessoas </w:t>
      </w:r>
      <w:r w:rsidRPr="002A27D3">
        <w:rPr>
          <w:rFonts w:ascii="Times New Roman" w:eastAsia="Times New Roman" w:hAnsi="Times New Roman" w:cs="Times New Roman"/>
          <w:b/>
          <w:sz w:val="24"/>
          <w:szCs w:val="24"/>
        </w:rPr>
        <w:t>envolvid</w:t>
      </w:r>
      <w:r w:rsidR="00466C3F" w:rsidRPr="002A27D3">
        <w:rPr>
          <w:rFonts w:ascii="Times New Roman" w:eastAsia="Times New Roman" w:hAnsi="Times New Roman" w:cs="Times New Roman"/>
          <w:b/>
          <w:sz w:val="24"/>
          <w:szCs w:val="24"/>
        </w:rPr>
        <w:t>as</w:t>
      </w:r>
      <w:r w:rsidRPr="002A27D3">
        <w:rPr>
          <w:rFonts w:ascii="Times New Roman" w:eastAsia="Times New Roman" w:hAnsi="Times New Roman" w:cs="Times New Roman"/>
          <w:b/>
          <w:sz w:val="24"/>
          <w:szCs w:val="24"/>
        </w:rPr>
        <w:t xml:space="preserve"> na festa popular.</w:t>
      </w:r>
    </w:p>
    <w:p w14:paraId="6D0321F0" w14:textId="77777777" w:rsidR="00CE731F" w:rsidRDefault="00CE731F" w:rsidP="00AA7134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2F6243" w14:textId="77777777" w:rsidR="002348A3" w:rsidRDefault="002348A3" w:rsidP="00AA7134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39DA17" w14:textId="68891FAC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de </w:t>
      </w:r>
      <w:r w:rsidR="00466C3F">
        <w:rPr>
          <w:rFonts w:ascii="Times New Roman" w:eastAsia="Times New Roman" w:hAnsi="Times New Roman" w:cs="Times New Roman"/>
          <w:sz w:val="24"/>
          <w:szCs w:val="24"/>
        </w:rPr>
        <w:t xml:space="preserve">avaliar protocolos de segurança pública voltados para o Carnaval 2024 de Belo Horizonte/MG, </w:t>
      </w:r>
      <w:r w:rsidR="00992184">
        <w:rPr>
          <w:rFonts w:ascii="Times New Roman" w:eastAsia="Times New Roman" w:hAnsi="Times New Roman" w:cs="Times New Roman"/>
          <w:sz w:val="24"/>
          <w:szCs w:val="24"/>
        </w:rPr>
        <w:t>analisar</w:t>
      </w:r>
      <w:r w:rsidR="00466C3F">
        <w:rPr>
          <w:rFonts w:ascii="Times New Roman" w:eastAsia="Times New Roman" w:hAnsi="Times New Roman" w:cs="Times New Roman"/>
          <w:sz w:val="24"/>
          <w:szCs w:val="24"/>
        </w:rPr>
        <w:t xml:space="preserve"> o planejamento da festa quanto à oferta de transporte coletivo e alternativas de mobilidade urbana, bem como </w:t>
      </w:r>
      <w:r w:rsidR="00992184">
        <w:rPr>
          <w:rFonts w:ascii="Times New Roman" w:eastAsia="Times New Roman" w:hAnsi="Times New Roman" w:cs="Times New Roman"/>
          <w:sz w:val="24"/>
          <w:szCs w:val="24"/>
        </w:rPr>
        <w:t xml:space="preserve">as medidas de </w:t>
      </w:r>
      <w:r w:rsidR="00466C3F">
        <w:rPr>
          <w:rFonts w:ascii="Times New Roman" w:eastAsia="Times New Roman" w:hAnsi="Times New Roman" w:cs="Times New Roman"/>
          <w:sz w:val="24"/>
          <w:szCs w:val="24"/>
        </w:rPr>
        <w:t xml:space="preserve">prevenção à violência contra grupos vulnerabilizados,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considerando a </w:t>
      </w:r>
      <w:r w:rsidR="00466C3F">
        <w:rPr>
          <w:rFonts w:ascii="Times New Roman" w:eastAsia="Times New Roman" w:hAnsi="Times New Roman" w:cs="Times New Roman"/>
          <w:sz w:val="24"/>
          <w:szCs w:val="24"/>
        </w:rPr>
        <w:t>dimensão do evento e a elevada expectativa de público.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707F65" w14:textId="77777777" w:rsidR="00CE731F" w:rsidRDefault="00CE73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025F00" w14:textId="77777777" w:rsidR="002348A3" w:rsidRDefault="002348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D413C4" w14:textId="77777777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SÍNTESE DOS FATOS:</w:t>
      </w:r>
    </w:p>
    <w:p w14:paraId="13072A63" w14:textId="77777777" w:rsidR="00CE731F" w:rsidRDefault="00CE73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F1C5E6" w14:textId="3F329609" w:rsidR="00CE731F" w:rsidRPr="00EA76E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C3F">
        <w:rPr>
          <w:rFonts w:ascii="Times New Roman" w:eastAsia="Times New Roman" w:hAnsi="Times New Roman" w:cs="Times New Roman"/>
          <w:sz w:val="24"/>
          <w:szCs w:val="24"/>
        </w:rPr>
        <w:t xml:space="preserve">A Defensoria Pública de Minas Gerais tomou conhecimento, por meio de </w:t>
      </w:r>
      <w:r w:rsidR="00466C3F" w:rsidRPr="00466C3F">
        <w:rPr>
          <w:rFonts w:ascii="Times New Roman" w:eastAsia="Times New Roman" w:hAnsi="Times New Roman" w:cs="Times New Roman"/>
          <w:sz w:val="24"/>
          <w:szCs w:val="24"/>
        </w:rPr>
        <w:t>divulgação na imprensa, em redes sociais e outros veículos de comunicação,</w:t>
      </w:r>
      <w:r w:rsidRPr="00466C3F">
        <w:rPr>
          <w:rFonts w:ascii="Times New Roman" w:eastAsia="Times New Roman" w:hAnsi="Times New Roman" w:cs="Times New Roman"/>
          <w:sz w:val="24"/>
          <w:szCs w:val="24"/>
        </w:rPr>
        <w:t xml:space="preserve"> de que o Carnaval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 de Belo Horizonte será o maior da cidade, em comparação </w:t>
      </w:r>
      <w:r w:rsidR="002348A3">
        <w:rPr>
          <w:rFonts w:ascii="Times New Roman" w:eastAsia="Times New Roman" w:hAnsi="Times New Roman" w:cs="Times New Roman"/>
          <w:sz w:val="24"/>
          <w:szCs w:val="24"/>
        </w:rPr>
        <w:t>aos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anos anteriores. Nes</w:t>
      </w:r>
      <w:r w:rsidR="002348A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ano, a capital mineira registrou mais de 500 (quinhentos) cortejos cadastrados e espalhados pelas nove regionais da cidade, com a expectativa de receber</w:t>
      </w:r>
      <w:r w:rsidR="002348A3">
        <w:rPr>
          <w:rFonts w:ascii="Times New Roman" w:eastAsia="Times New Roman" w:hAnsi="Times New Roman" w:cs="Times New Roman"/>
          <w:sz w:val="24"/>
          <w:szCs w:val="24"/>
        </w:rPr>
        <w:t xml:space="preserve"> cerca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5,5 milhões de foliões e foliãs até o dia 18 de fevereiro. Além da dimensão atingida pelo Carnaval 2024 de Belo Horizonte, a festa popular contará, neste ano, com o palco oficial instalado no Parque Municipal Américo Renné Giannetti, </w:t>
      </w:r>
      <w:r w:rsidR="007A6B2D">
        <w:rPr>
          <w:rFonts w:ascii="Times New Roman" w:eastAsia="Times New Roman" w:hAnsi="Times New Roman" w:cs="Times New Roman"/>
          <w:sz w:val="24"/>
          <w:szCs w:val="24"/>
        </w:rPr>
        <w:t>tendo em vista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Praça da Estação – local tradicionalmente escolhido para o início e fim de muitos cortejos – encontra</w:t>
      </w:r>
      <w:r w:rsidR="002348A3">
        <w:rPr>
          <w:rFonts w:ascii="Times New Roman" w:eastAsia="Times New Roman" w:hAnsi="Times New Roman" w:cs="Times New Roman"/>
          <w:sz w:val="24"/>
          <w:szCs w:val="24"/>
        </w:rPr>
        <w:t>-se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obras de revitalização. </w:t>
      </w:r>
      <w:r w:rsidR="002348A3">
        <w:rPr>
          <w:rFonts w:ascii="Times New Roman" w:eastAsia="Times New Roman" w:hAnsi="Times New Roman" w:cs="Times New Roman"/>
          <w:sz w:val="24"/>
          <w:szCs w:val="24"/>
        </w:rPr>
        <w:t xml:space="preserve">A instituição </w:t>
      </w:r>
      <w:r w:rsidR="007A6B2D">
        <w:rPr>
          <w:rFonts w:ascii="Times New Roman" w:eastAsia="Times New Roman" w:hAnsi="Times New Roman" w:cs="Times New Roman"/>
          <w:sz w:val="24"/>
          <w:szCs w:val="24"/>
        </w:rPr>
        <w:t>recebeu, ainda, carta de representação assinada por diversos Blocos de Rua de Belo Horizonte, com provocações para</w:t>
      </w:r>
      <w:r w:rsidR="00EA76E1">
        <w:rPr>
          <w:rFonts w:ascii="Times New Roman" w:eastAsia="Times New Roman" w:hAnsi="Times New Roman" w:cs="Times New Roman"/>
          <w:sz w:val="24"/>
          <w:szCs w:val="24"/>
        </w:rPr>
        <w:t xml:space="preserve">: a) </w:t>
      </w:r>
      <w:r w:rsidR="007A6B2D">
        <w:rPr>
          <w:rFonts w:ascii="Times New Roman" w:eastAsia="Times New Roman" w:hAnsi="Times New Roman" w:cs="Times New Roman"/>
          <w:sz w:val="24"/>
          <w:szCs w:val="24"/>
        </w:rPr>
        <w:t>que apure a destinação de recursos públicos oriundos da Lei de Incentivo à Cultura de forma transparente e impessoal</w:t>
      </w:r>
      <w:r w:rsidR="00EA76E1">
        <w:rPr>
          <w:rFonts w:ascii="Times New Roman" w:eastAsia="Times New Roman" w:hAnsi="Times New Roman" w:cs="Times New Roman"/>
          <w:sz w:val="24"/>
          <w:szCs w:val="24"/>
        </w:rPr>
        <w:t>; b)</w:t>
      </w:r>
      <w:r w:rsidR="007A6B2D">
        <w:rPr>
          <w:rFonts w:ascii="Times New Roman" w:eastAsia="Times New Roman" w:hAnsi="Times New Roman" w:cs="Times New Roman"/>
          <w:sz w:val="24"/>
          <w:szCs w:val="24"/>
        </w:rPr>
        <w:t xml:space="preserve"> que articule diálogo entre os Poderes Públicos Estadual e Municipal e a sociedade civil, para </w:t>
      </w:r>
      <w:r w:rsidR="00EA76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7A6B2D">
        <w:rPr>
          <w:rFonts w:ascii="Times New Roman" w:eastAsia="Times New Roman" w:hAnsi="Times New Roman" w:cs="Times New Roman"/>
          <w:sz w:val="24"/>
          <w:szCs w:val="24"/>
        </w:rPr>
        <w:t>definição das diretrizes da festa popular</w:t>
      </w:r>
      <w:r w:rsidR="00EA76E1">
        <w:rPr>
          <w:rFonts w:ascii="Times New Roman" w:eastAsia="Times New Roman" w:hAnsi="Times New Roman" w:cs="Times New Roman"/>
          <w:sz w:val="24"/>
          <w:szCs w:val="24"/>
        </w:rPr>
        <w:t xml:space="preserve"> e; c) que adote medidas preventivas para coibir possíveis abusos e arbitrariedades policiais. Diante desse cenário,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onsiderando a </w:t>
      </w:r>
      <w:r w:rsidR="00EA76E1">
        <w:rPr>
          <w:rFonts w:ascii="Times New Roman" w:eastAsia="Times New Roman" w:hAnsi="Times New Roman" w:cs="Times New Roman"/>
          <w:sz w:val="24"/>
          <w:szCs w:val="24"/>
        </w:rPr>
        <w:t>dimensão do evento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 expectativa </w:t>
      </w:r>
      <w:r w:rsidR="00EA76E1">
        <w:rPr>
          <w:rFonts w:ascii="Times New Roman" w:eastAsia="Times New Roman" w:hAnsi="Times New Roman" w:cs="Times New Roman"/>
          <w:sz w:val="24"/>
          <w:szCs w:val="24"/>
        </w:rPr>
        <w:t>de público para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festa popular, </w:t>
      </w:r>
      <w:r w:rsidR="00EA76E1">
        <w:rPr>
          <w:rFonts w:ascii="Times New Roman" w:eastAsia="Times New Roman" w:hAnsi="Times New Roman" w:cs="Times New Roman"/>
          <w:sz w:val="24"/>
          <w:szCs w:val="24"/>
        </w:rPr>
        <w:t>identificou-se a necessidade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instauração de Procedimento Administrativo de Tutela Coletiva, visando acompanhar a organização e </w:t>
      </w:r>
      <w:r w:rsidR="00EA76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execução d</w:t>
      </w:r>
      <w:r w:rsidR="00EA76E1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planejamentos </w:t>
      </w:r>
      <w:r w:rsidR="00EA76E1">
        <w:rPr>
          <w:rFonts w:ascii="Times New Roman" w:eastAsia="Times New Roman" w:hAnsi="Times New Roman" w:cs="Times New Roman"/>
          <w:sz w:val="24"/>
          <w:szCs w:val="24"/>
        </w:rPr>
        <w:t xml:space="preserve">relativos ao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Carnaval de 2024 na capital mineira, bem como </w:t>
      </w:r>
      <w:r w:rsidR="00EA76E1">
        <w:rPr>
          <w:rFonts w:ascii="Times New Roman" w:eastAsia="Times New Roman" w:hAnsi="Times New Roman" w:cs="Times New Roman"/>
          <w:sz w:val="24"/>
          <w:szCs w:val="24"/>
        </w:rPr>
        <w:t>para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articulação </w:t>
      </w:r>
      <w:r w:rsidR="00EA76E1">
        <w:rPr>
          <w:rFonts w:ascii="Times New Roman" w:eastAsia="Times New Roman" w:hAnsi="Times New Roman" w:cs="Times New Roman"/>
          <w:sz w:val="24"/>
          <w:szCs w:val="24"/>
        </w:rPr>
        <w:t>de protocolos em conjunto 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6E1">
        <w:rPr>
          <w:rFonts w:ascii="Times New Roman" w:eastAsia="Times New Roman" w:hAnsi="Times New Roman" w:cs="Times New Roman"/>
          <w:sz w:val="24"/>
          <w:szCs w:val="24"/>
        </w:rPr>
        <w:t xml:space="preserve">o Município, </w:t>
      </w:r>
      <w:r>
        <w:rPr>
          <w:rFonts w:ascii="Times New Roman" w:eastAsia="Times New Roman" w:hAnsi="Times New Roman" w:cs="Times New Roman"/>
          <w:sz w:val="24"/>
          <w:szCs w:val="24"/>
        </w:rPr>
        <w:t>seus órgãos de Administração Direta e Indireta,</w:t>
      </w:r>
      <w:r w:rsidR="00EA76E1">
        <w:rPr>
          <w:rFonts w:ascii="Times New Roman" w:eastAsia="Times New Roman" w:hAnsi="Times New Roman" w:cs="Times New Roman"/>
          <w:sz w:val="24"/>
          <w:szCs w:val="24"/>
        </w:rPr>
        <w:t xml:space="preserve"> o Governo Estadual e a Polícia Militar de Minas Gerais,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especialmente quanto</w:t>
      </w:r>
      <w:r w:rsidR="00EA76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A76E1" w:rsidRPr="00EA76E1">
        <w:rPr>
          <w:rFonts w:ascii="Times New Roman" w:eastAsia="Times New Roman" w:hAnsi="Times New Roman" w:cs="Times New Roman"/>
          <w:sz w:val="24"/>
          <w:szCs w:val="24"/>
        </w:rPr>
        <w:t>a) prevenção à violência contra grupos vulnerabilizados</w:t>
      </w:r>
      <w:r w:rsidR="00EA76E1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EA76E1" w:rsidRPr="00EA76E1">
        <w:rPr>
          <w:rFonts w:ascii="Times New Roman" w:eastAsia="Times New Roman" w:hAnsi="Times New Roman" w:cs="Times New Roman"/>
          <w:sz w:val="24"/>
          <w:szCs w:val="24"/>
        </w:rPr>
        <w:t xml:space="preserve"> encaminhamento de pessoas ofendidas para acolhimento pelas instituições do Sistema de Justiça; b) distribuição de equipamentos sanitários móveis para a garantia de higiene e prevenção da exposição de mulheres, crianças e adolescente ao risco de violência sexual; c) disponibilidade de frota de ônibus e</w:t>
      </w:r>
      <w:r w:rsidR="00EA76E1">
        <w:rPr>
          <w:rFonts w:ascii="Times New Roman" w:eastAsia="Times New Roman" w:hAnsi="Times New Roman" w:cs="Times New Roman"/>
          <w:sz w:val="24"/>
          <w:szCs w:val="24"/>
        </w:rPr>
        <w:t xml:space="preserve"> de alternativas de</w:t>
      </w:r>
      <w:r w:rsidR="00EA76E1" w:rsidRPr="00EA76E1">
        <w:rPr>
          <w:rFonts w:ascii="Times New Roman" w:eastAsia="Times New Roman" w:hAnsi="Times New Roman" w:cs="Times New Roman"/>
          <w:sz w:val="24"/>
          <w:szCs w:val="24"/>
        </w:rPr>
        <w:t xml:space="preserve"> transporte público suficiente para acesso facilitado aos blocos e para dispersão segura e ágil de foliãs e foliões, garantindo o direito à mobilidade urbana</w:t>
      </w:r>
      <w:r w:rsidR="00EA76E1">
        <w:rPr>
          <w:rFonts w:ascii="Times New Roman" w:eastAsia="Times New Roman" w:hAnsi="Times New Roman" w:cs="Times New Roman"/>
          <w:sz w:val="24"/>
          <w:szCs w:val="24"/>
        </w:rPr>
        <w:t>, à acessibilidade e</w:t>
      </w:r>
      <w:r w:rsidR="00EA76E1" w:rsidRPr="00EA76E1">
        <w:rPr>
          <w:rFonts w:ascii="Times New Roman" w:eastAsia="Times New Roman" w:hAnsi="Times New Roman" w:cs="Times New Roman"/>
          <w:sz w:val="24"/>
          <w:szCs w:val="24"/>
        </w:rPr>
        <w:t xml:space="preserve"> à segurança; d) protocolos de segurança</w:t>
      </w:r>
      <w:r w:rsidR="00EA76E1">
        <w:rPr>
          <w:rFonts w:ascii="Times New Roman" w:eastAsia="Times New Roman" w:hAnsi="Times New Roman" w:cs="Times New Roman"/>
          <w:sz w:val="24"/>
          <w:szCs w:val="24"/>
        </w:rPr>
        <w:t xml:space="preserve"> e de acompanhamento </w:t>
      </w:r>
      <w:r w:rsidR="00EA76E1">
        <w:rPr>
          <w:rFonts w:ascii="Times New Roman" w:eastAsia="Times New Roman" w:hAnsi="Times New Roman" w:cs="Times New Roman"/>
          <w:sz w:val="24"/>
          <w:szCs w:val="24"/>
        </w:rPr>
        <w:lastRenderedPageBreak/>
        <w:t>da</w:t>
      </w:r>
      <w:r w:rsidR="00EA76E1" w:rsidRPr="00EA76E1">
        <w:rPr>
          <w:rFonts w:ascii="Times New Roman" w:eastAsia="Times New Roman" w:hAnsi="Times New Roman" w:cs="Times New Roman"/>
          <w:sz w:val="24"/>
          <w:szCs w:val="24"/>
        </w:rPr>
        <w:t xml:space="preserve"> dispersão de blocos, especialmente no horário noturno; e) levantamento de dados a respeito de blocos com maior aglomeração de pessoas e planejamento de medidas de segurança; f) garantia de segurança aos blocos para a realização do percurso previsto e autorizado pela BHTrans</w:t>
      </w:r>
      <w:r w:rsidR="00EA76E1">
        <w:rPr>
          <w:rFonts w:ascii="Times New Roman" w:eastAsia="Times New Roman" w:hAnsi="Times New Roman" w:cs="Times New Roman"/>
          <w:sz w:val="24"/>
          <w:szCs w:val="24"/>
        </w:rPr>
        <w:t>, sem empecilhos e opressões</w:t>
      </w:r>
      <w:r w:rsidR="00EA76E1" w:rsidRPr="00EA76E1">
        <w:rPr>
          <w:rFonts w:ascii="Times New Roman" w:eastAsia="Times New Roman" w:hAnsi="Times New Roman" w:cs="Times New Roman"/>
          <w:sz w:val="24"/>
          <w:szCs w:val="24"/>
        </w:rPr>
        <w:t>; g) cadastramento de vendedores ambulantes combinado com o enfrentamento ao trabalho infantil.</w:t>
      </w:r>
    </w:p>
    <w:p w14:paraId="1A41C94C" w14:textId="77777777" w:rsidR="00CE731F" w:rsidRDefault="00CE73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D419AF" w14:textId="77777777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BEA4DCE" w14:textId="77777777" w:rsidR="00CE731F" w:rsidRDefault="00CE73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B79BA5" w14:textId="77777777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Município de Belo Horizonte/MG</w:t>
      </w:r>
    </w:p>
    <w:p w14:paraId="5CDAF18A" w14:textId="77777777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Empresa Municipal de Turismo de Belo Horizonte - Belotur</w:t>
      </w:r>
    </w:p>
    <w:p w14:paraId="56712ADA" w14:textId="77777777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Superintendência de Mobilidade de Belo Horizonte - SUMOB</w:t>
      </w:r>
    </w:p>
    <w:p w14:paraId="4E85C05D" w14:textId="77777777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Empresa de Transportes e Trânsito de Belo Horizonte - BHTrans</w:t>
      </w:r>
    </w:p>
    <w:p w14:paraId="7C31A173" w14:textId="77777777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Secretaria Municipal de Segurança e Prevenção de Belo Horizonte</w:t>
      </w:r>
    </w:p>
    <w:p w14:paraId="170BA7AD" w14:textId="77777777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Secretaria Municipal de Assistência Social, Segurança Alimentar e Cidadania </w:t>
      </w:r>
    </w:p>
    <w:p w14:paraId="352C44BB" w14:textId="77777777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Diretoria de Políticas para Mulheres de Belo Horizonte</w:t>
      </w:r>
    </w:p>
    <w:p w14:paraId="6ABD424D" w14:textId="7C8117C2" w:rsidR="00EA76E1" w:rsidRDefault="00EA76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Estado de Minas Gerais</w:t>
      </w:r>
    </w:p>
    <w:p w14:paraId="6CE8069E" w14:textId="1253F007" w:rsidR="00EA76E1" w:rsidRDefault="00EA76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Polícia Militar de Minas Gerais</w:t>
      </w:r>
    </w:p>
    <w:p w14:paraId="7E558C34" w14:textId="77777777" w:rsidR="00CE731F" w:rsidRDefault="00CE73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F091AA" w14:textId="1A9EF749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art. 5º, inciso LXXIV, e art. 134, da Constituição da República Federativa do Brasil de 1988 (CRFB/1988);</w:t>
      </w:r>
    </w:p>
    <w:p w14:paraId="5210FA74" w14:textId="77777777" w:rsidR="00CE731F" w:rsidRDefault="00CE73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509DB" w14:textId="77777777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é função institucional da Defensoria Pública exercer a defesa dos interesses individuais e coletivos de grupos vulnerabilizados, dentre os quais estão arroladas, expressamente, as crianças e adolescentes, os idosos, mulheres, pessoas com deficiência, consumidores, bem como outros grupos sociais que mereçam proteção especial do Estado, conforme art. 4º, inciso XI, da Lei Complementar n.º 80/1994;</w:t>
      </w:r>
    </w:p>
    <w:p w14:paraId="6F380EF7" w14:textId="77777777" w:rsidR="00CE731F" w:rsidRDefault="00CE73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A31609" w14:textId="77777777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detém, ainda, atribuição para promover a mais ampla defesa dos direitos fundamentais dos necessitados, abrangendo seus direitos individuais, coletivos, sociais, econômicos, culturais e ambientais, sendo admissíveis todas as espécies de ações capazes de propiciar sua adequada e efetiva tutela, nos termos do art. 4º, inciso X, da Lei Complementar n.º 80/1994;</w:t>
      </w:r>
    </w:p>
    <w:p w14:paraId="0F913E4D" w14:textId="77777777" w:rsidR="00CE731F" w:rsidRDefault="00CE73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0FBA15" w14:textId="77777777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dever do Estado dar efetividade aos princípios constitucionais da cidadania e da dignidade da pessoa humana, bem como cumprir com seus objetivos </w:t>
      </w:r>
      <w:r w:rsidRPr="00D3283B">
        <w:rPr>
          <w:rFonts w:ascii="Times New Roman" w:eastAsia="Times New Roman" w:hAnsi="Times New Roman" w:cs="Times New Roman"/>
          <w:sz w:val="24"/>
          <w:szCs w:val="24"/>
        </w:rPr>
        <w:t>fundamentais de construir uma sociedade livre, justa e solidária, além de promover o bem de todos, sem preconceitos de raça, sexo ou quaisquer formas de discriminação (art. 1º, incisos II e III, e art. 3º, I e IV, da CRFB/1988);</w:t>
      </w:r>
    </w:p>
    <w:p w14:paraId="4062949D" w14:textId="77777777" w:rsidR="00CE731F" w:rsidRDefault="00CE73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EC34D6" w14:textId="77777777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proteção à intimidade, à vida privada e à honra das pessoas, assegurado pelo inciso X do art. 5° da Constituição Federal;</w:t>
      </w:r>
    </w:p>
    <w:p w14:paraId="20B3BB81" w14:textId="77777777" w:rsidR="00CE731F" w:rsidRDefault="00CE73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2CFB76" w14:textId="65B9EE33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são </w:t>
      </w:r>
      <w:r w:rsidRPr="00D3283B">
        <w:rPr>
          <w:rFonts w:ascii="Times New Roman" w:eastAsia="Times New Roman" w:hAnsi="Times New Roman" w:cs="Times New Roman"/>
          <w:bCs/>
          <w:sz w:val="24"/>
          <w:szCs w:val="24"/>
        </w:rPr>
        <w:t>direitos sociais amparados pela Carta Magna, entre outros, o acesso ao transporte, ao lazer e à segurança, nos moldes do art. 6°,</w:t>
      </w:r>
      <w:r w:rsidR="00D3283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3283B">
        <w:rPr>
          <w:rFonts w:ascii="Times New Roman" w:eastAsia="Times New Roman" w:hAnsi="Times New Roman" w:cs="Times New Roman"/>
          <w:bCs/>
          <w:sz w:val="24"/>
          <w:szCs w:val="24"/>
        </w:rPr>
        <w:t>da CRFB/1988;</w:t>
      </w:r>
    </w:p>
    <w:p w14:paraId="1AB7AF2B" w14:textId="77777777" w:rsidR="00CE731F" w:rsidRDefault="00CE73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C7BB2C" w14:textId="0863D47F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teor do art. 215</w:t>
      </w:r>
      <w:r w:rsidR="00D328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da Constituição Federal, que estabelece o dever do Estado em garantir a todos o pleno exercício dos direitos culturais e acesso às fontes da cultura nacional, bem como em apoiar e incentivar a valorização e difusão das manifestações culturais;</w:t>
      </w:r>
    </w:p>
    <w:p w14:paraId="70644373" w14:textId="77777777" w:rsidR="00CE731F" w:rsidRDefault="00CE73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7C8305" w14:textId="0FCB6EA1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os termos do art. 227</w:t>
      </w:r>
      <w:r w:rsidR="00CA28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da Carta Magna, que prevê como dever da família, da sociedade e do Estado assegurar à criança, ao adolescente e ao jovem, com absoluta prioridade, entre outros, o direito ao lazer, à cultura, ao respeito e à liberdade, além de colocá-los a salvo de toda forma de negligência, discriminação, exploração, violência, crueldade e opressão;</w:t>
      </w:r>
    </w:p>
    <w:p w14:paraId="30BB348E" w14:textId="77777777" w:rsidR="00CE731F" w:rsidRDefault="00CE73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DBE7FB" w14:textId="516288F1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art. 60</w:t>
      </w:r>
      <w:r w:rsidR="00D328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do Estatuto da Criança e do Adolescente (Lei 8.</w:t>
      </w:r>
      <w:r w:rsidR="00D3283B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69/1990), em consonância com o</w:t>
      </w:r>
      <w:r w:rsidR="00D3283B">
        <w:rPr>
          <w:rFonts w:ascii="Times New Roman" w:eastAsia="Times New Roman" w:hAnsi="Times New Roman" w:cs="Times New Roman"/>
          <w:sz w:val="24"/>
          <w:szCs w:val="24"/>
        </w:rPr>
        <w:t xml:space="preserve"> disposto no 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7°, </w:t>
      </w:r>
      <w:r w:rsidR="00D3283B">
        <w:rPr>
          <w:rFonts w:ascii="Times New Roman" w:eastAsia="Times New Roman" w:hAnsi="Times New Roman" w:cs="Times New Roman"/>
          <w:sz w:val="24"/>
          <w:szCs w:val="24"/>
        </w:rPr>
        <w:t xml:space="preserve">inciso </w:t>
      </w:r>
      <w:r>
        <w:rPr>
          <w:rFonts w:ascii="Times New Roman" w:eastAsia="Times New Roman" w:hAnsi="Times New Roman" w:cs="Times New Roman"/>
          <w:sz w:val="24"/>
          <w:szCs w:val="24"/>
        </w:rPr>
        <w:t>XXXIII</w:t>
      </w:r>
      <w:r w:rsidR="00D3283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Constituição Federal</w:t>
      </w:r>
      <w:r w:rsidR="00D328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estabelece a proibição de qualquer trabalho a </w:t>
      </w:r>
      <w:r w:rsidR="00D3283B">
        <w:rPr>
          <w:rFonts w:ascii="Times New Roman" w:eastAsia="Times New Roman" w:hAnsi="Times New Roman" w:cs="Times New Roman"/>
          <w:sz w:val="24"/>
          <w:szCs w:val="24"/>
        </w:rPr>
        <w:t xml:space="preserve">pessoas </w:t>
      </w:r>
      <w:r>
        <w:rPr>
          <w:rFonts w:ascii="Times New Roman" w:eastAsia="Times New Roman" w:hAnsi="Times New Roman" w:cs="Times New Roman"/>
          <w:sz w:val="24"/>
          <w:szCs w:val="24"/>
        </w:rPr>
        <w:t>menores de quatorze anos, salvo na condição de aprendiz;</w:t>
      </w:r>
    </w:p>
    <w:p w14:paraId="475F4B18" w14:textId="77777777" w:rsidR="00CE731F" w:rsidRDefault="00CE73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D0B96D" w14:textId="72F5BE40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Lei 10.527</w:t>
      </w:r>
      <w:r w:rsidR="00D3283B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2001, responsável por estabelecer diretrizes gerais da política urbana, entre outras providências, prevê, em seu art. 2°, que a política urbana tem por objetivo ordenar o pleno desenvolvimento das funções sociais da cidade e da propriedade urbana, mediante à garantia do direito a cidades sustentáveis, entendido como o direito ao saneamento ambiental, à infraestrutura urbana, ao transporte e aos serviços públicos, ao trabalho e ao lazer, entre outros, para as presentes e futuras gerações; bem como à oferta de equipamentos urbanos e comunitários, transporte e serviços públicos adequados aos interesses e necessidades da população e às características locais, </w:t>
      </w:r>
      <w:r w:rsidR="00D3283B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entre outras diretrizes;</w:t>
      </w:r>
    </w:p>
    <w:p w14:paraId="3B665F0B" w14:textId="77777777" w:rsidR="00CE731F" w:rsidRDefault="00CE73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8F7AB" w14:textId="30B8DE8D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="00D3283B">
        <w:rPr>
          <w:rFonts w:ascii="Times New Roman" w:eastAsia="Times New Roman" w:hAnsi="Times New Roman" w:cs="Times New Roman"/>
          <w:sz w:val="24"/>
          <w:szCs w:val="24"/>
        </w:rPr>
        <w:t>o teor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Lei 14.786/2023, responsável por </w:t>
      </w:r>
      <w:r w:rsidR="00D3283B">
        <w:rPr>
          <w:rFonts w:ascii="Times New Roman" w:eastAsia="Times New Roman" w:hAnsi="Times New Roman" w:cs="Times New Roman"/>
          <w:sz w:val="24"/>
          <w:szCs w:val="24"/>
        </w:rPr>
        <w:t>instituir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protocolo “Não é Não”, para prevenção ao constrangimento e à violência contra a mulher e para proteção à vítima;</w:t>
      </w:r>
    </w:p>
    <w:p w14:paraId="2D2250AF" w14:textId="77777777" w:rsidR="00CE731F" w:rsidRDefault="00CE73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7E2331" w14:textId="43519ECA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Código Penal Brasileiro</w:t>
      </w:r>
      <w:r w:rsidR="00D3283B">
        <w:rPr>
          <w:rFonts w:ascii="Times New Roman" w:eastAsia="Times New Roman" w:hAnsi="Times New Roman" w:cs="Times New Roman"/>
          <w:sz w:val="24"/>
          <w:szCs w:val="24"/>
        </w:rPr>
        <w:t xml:space="preserve">, com as modificações da Lei 13.718/2018, passou a </w:t>
      </w:r>
      <w:r>
        <w:rPr>
          <w:rFonts w:ascii="Times New Roman" w:eastAsia="Times New Roman" w:hAnsi="Times New Roman" w:cs="Times New Roman"/>
          <w:sz w:val="24"/>
          <w:szCs w:val="24"/>
        </w:rPr>
        <w:t>tipific</w:t>
      </w:r>
      <w:r w:rsidR="00D3283B"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crime de Importunação Sexual</w:t>
      </w:r>
      <w:r w:rsidR="00D3283B">
        <w:rPr>
          <w:rFonts w:ascii="Times New Roman" w:eastAsia="Times New Roman" w:hAnsi="Times New Roman" w:cs="Times New Roman"/>
          <w:sz w:val="24"/>
          <w:szCs w:val="24"/>
        </w:rPr>
        <w:t>, compreendido como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83B">
        <w:rPr>
          <w:rFonts w:ascii="Times New Roman" w:eastAsia="Times New Roman" w:hAnsi="Times New Roman" w:cs="Times New Roman"/>
          <w:sz w:val="24"/>
          <w:szCs w:val="24"/>
        </w:rPr>
        <w:t xml:space="preserve">a conduta </w:t>
      </w:r>
      <w:r>
        <w:rPr>
          <w:rFonts w:ascii="Times New Roman" w:eastAsia="Times New Roman" w:hAnsi="Times New Roman" w:cs="Times New Roman"/>
          <w:sz w:val="24"/>
          <w:szCs w:val="24"/>
        </w:rPr>
        <w:t>de praticar contra alguém e sem a sua anuência, ato libidinoso com o objetivo de satisfazer a própria lascívia ou a de terceiro, com pena de reclusão de 1 (um) a 5 (cinco) anos, se o ato não constitui crime mais grave;</w:t>
      </w:r>
    </w:p>
    <w:p w14:paraId="193B2A3D" w14:textId="77777777" w:rsidR="00CA2885" w:rsidRDefault="00CA28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B3BB7A" w14:textId="77777777" w:rsidR="00CA2885" w:rsidRDefault="00CA2885" w:rsidP="00CA28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o Supremo Tribunal Federal (STF), no julgamento da Ação de Direta de Inconstitucionalidade por Omissão (ADO) 26 e do Mandado de Injunção (MI) 4733, </w:t>
      </w:r>
      <w:r w:rsidRPr="00E068F8">
        <w:rPr>
          <w:rFonts w:ascii="Times New Roman" w:eastAsia="Times New Roman" w:hAnsi="Times New Roman" w:cs="Times New Roman"/>
          <w:color w:val="000000"/>
          <w:sz w:val="24"/>
          <w:szCs w:val="24"/>
        </w:rPr>
        <w:t>reconheceu a inércia do Poder Legislativo em dar cumprimento ao mandado constitucional de criminalização de atos atentatórias contra direitos fundamentais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(definidos no art. 5º, XLI e XLII, da CRFB/88), decidindo, portanto, </w:t>
      </w:r>
      <w:r w:rsidRPr="00CA28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suprir a omissão </w:t>
      </w:r>
      <w:r w:rsidRPr="00CA28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estatal no que toca à punição de práticas de LGBTfobia, determinando que, enquanto não houver a elaboração de leis protetivas sobre o assunto, condutas homofóbicas e transfóbicas sejam equiparadas a racismo (Lei n. 7.716/1989);</w:t>
      </w:r>
    </w:p>
    <w:p w14:paraId="4BEC657E" w14:textId="77777777" w:rsidR="00CA2885" w:rsidRDefault="00CA2885" w:rsidP="00CA28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A5D0BEA" w14:textId="5A06E705" w:rsidR="00CA2885" w:rsidRDefault="00CA2885" w:rsidP="00CA28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o a</w:t>
      </w:r>
      <w:r w:rsidRPr="00CA2885">
        <w:rPr>
          <w:rFonts w:ascii="Times New Roman" w:eastAsia="Times New Roman" w:hAnsi="Times New Roman" w:cs="Times New Roman"/>
          <w:color w:val="000000"/>
          <w:sz w:val="24"/>
          <w:szCs w:val="24"/>
        </w:rPr>
        <w:t>rt. 234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do Código de Processo Penal Militar, estabelece regras para o uso progressivo da força, estabelecendo que o</w:t>
      </w:r>
      <w:r w:rsidRPr="00CA28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CA2885">
        <w:rPr>
          <w:rFonts w:ascii="Times New Roman" w:eastAsia="Times New Roman" w:hAnsi="Times New Roman" w:cs="Times New Roman"/>
          <w:color w:val="000000"/>
          <w:sz w:val="24"/>
          <w:szCs w:val="24"/>
        </w:rPr>
        <w:t>emprego de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CA2885">
        <w:rPr>
          <w:rFonts w:ascii="Times New Roman" w:eastAsia="Times New Roman" w:hAnsi="Times New Roman" w:cs="Times New Roman"/>
          <w:color w:val="000000"/>
          <w:sz w:val="24"/>
          <w:szCs w:val="24"/>
        </w:rPr>
        <w:t>rça só é permitido quando indispensável, no caso de desobediência, resistência ou tentativa de fuga. Se houver resistência da parte de terceiros, poderão ser usados os meios necessários para vencê-la ou para defesa do executor e auxiliares seus, inclusive a prisão do ofensor. De tudo se lavrará auto subscrito pelo executor e por duas testemunhas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06AD4EC6" w14:textId="77777777" w:rsidR="00CA2885" w:rsidRDefault="00CA28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465F6D" w14:textId="362094E5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exercício pleno de seus direitos e garantias fundamentais, conforme o disposto no art. 4º, II, III, VII, VIII, X, da Lei Complementar Federal nº 80/94;</w:t>
      </w:r>
    </w:p>
    <w:p w14:paraId="7AC7CC0F" w14:textId="77777777" w:rsidR="00CE731F" w:rsidRDefault="00CE73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5055C3" w14:textId="04256454" w:rsidR="00E22772" w:rsidRDefault="00000000" w:rsidP="00E227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 </w:t>
      </w:r>
      <w:r w:rsidR="00992184">
        <w:rPr>
          <w:rFonts w:ascii="Times New Roman" w:eastAsia="Times New Roman" w:hAnsi="Times New Roman" w:cs="Times New Roman"/>
          <w:sz w:val="24"/>
          <w:szCs w:val="24"/>
        </w:rPr>
        <w:t xml:space="preserve">a fim de avaliar protocolos de segurança pública voltados para o </w:t>
      </w:r>
      <w:r w:rsidR="00992184">
        <w:rPr>
          <w:rFonts w:ascii="Times New Roman" w:eastAsia="Times New Roman" w:hAnsi="Times New Roman" w:cs="Times New Roman"/>
          <w:sz w:val="24"/>
          <w:szCs w:val="24"/>
        </w:rPr>
        <w:lastRenderedPageBreak/>
        <w:t>Carnaval 2024 de Belo Horizonte/MG, analisar o planejamento da festa quanto à oferta de transporte coletivo e alternativas de mobilidade urbana, bem como as medidas de prevenção à violência contra grupos vulnerabilizados, considerando a dimensão do evento e a elevada expectativa de público.</w:t>
      </w:r>
    </w:p>
    <w:p w14:paraId="4EFDCD6B" w14:textId="4DF6F4CE" w:rsidR="00CE731F" w:rsidRDefault="00CE73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BE5D21" w14:textId="77777777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14:paraId="1707C456" w14:textId="77777777" w:rsidR="00CE731F" w:rsidRDefault="00CE73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03C8C6" w14:textId="5B733664" w:rsidR="00CE731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juntada de reportagens,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otícias e demais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documentos já produzidos sobre o tema;</w:t>
      </w:r>
    </w:p>
    <w:p w14:paraId="4C3A09E1" w14:textId="3CE8600D" w:rsidR="00CE731F" w:rsidRDefault="009921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juntada da carta de representação elaborada pelos Blocos de Rua de Belo Horizonte e endereçada para a Defensoria Pública de Minas Gerais;</w:t>
      </w:r>
    </w:p>
    <w:p w14:paraId="42B291F4" w14:textId="22FB638A" w:rsidR="00992184" w:rsidRDefault="009921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elaboração e remessa de ofício ao Município de Belo Horizonte e aos órgãos da Administração Pública Direta e Indireta envolvidos na organização do evento;</w:t>
      </w:r>
    </w:p>
    <w:p w14:paraId="04EAAA18" w14:textId="58BA57FA" w:rsidR="00992184" w:rsidRDefault="009921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elaboração e remessa de ofício ao Comando-Geral da Polícia Militar de Minas Gerais;</w:t>
      </w:r>
    </w:p>
    <w:p w14:paraId="6999CE2F" w14:textId="1E0F5371" w:rsidR="00CE731F" w:rsidRDefault="009921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elaboração de instrumentos judiciais e extrajudiciais para atuação junto aos órgãos públicos e privados prestadores de serviços, visando à garantia e proteção da segurança, saúde e bem-estar do público do evento.</w:t>
      </w:r>
    </w:p>
    <w:p w14:paraId="10A6F753" w14:textId="77777777" w:rsidR="00CE731F" w:rsidRDefault="00CE73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AF5C7" w14:textId="77777777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Autue-se. Cumpra-se. </w:t>
      </w:r>
    </w:p>
    <w:p w14:paraId="5263D033" w14:textId="77777777" w:rsidR="00CE731F" w:rsidRDefault="00CE73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370693" w14:textId="1907F8C6" w:rsidR="00CE731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Belo Horizonte/MG</w:t>
      </w:r>
      <w:r>
        <w:rPr>
          <w:rFonts w:ascii="Times New Roman" w:eastAsia="Times New Roman" w:hAnsi="Times New Roman" w:cs="Times New Roman"/>
          <w:sz w:val="24"/>
          <w:szCs w:val="24"/>
        </w:rPr>
        <w:t>, 2</w:t>
      </w:r>
      <w:r w:rsidR="00992184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janeiro de 2024. </w:t>
      </w:r>
    </w:p>
    <w:p w14:paraId="0C040B46" w14:textId="77777777" w:rsidR="00CE731F" w:rsidRDefault="00CE73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1360D" w14:textId="77777777" w:rsidR="00CE731F" w:rsidRDefault="00CE731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66A7B3" w14:textId="77777777" w:rsidR="00992184" w:rsidRDefault="009921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BE9601" w14:textId="77777777" w:rsidR="00992184" w:rsidRDefault="00992184" w:rsidP="00992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Paulo Cesar Azevedo de Almeida</w:t>
      </w:r>
    </w:p>
    <w:p w14:paraId="1A8D6ACC" w14:textId="77777777" w:rsidR="00992184" w:rsidRDefault="00992184" w:rsidP="00992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Coordenadoria Estratégica em Tutela Coletiva</w:t>
      </w:r>
    </w:p>
    <w:p w14:paraId="16EA4A61" w14:textId="77777777" w:rsidR="00992184" w:rsidRDefault="00992184" w:rsidP="00992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Defensor Público</w:t>
      </w:r>
    </w:p>
    <w:p w14:paraId="04F35E5A" w14:textId="47655E95" w:rsidR="00CE731F" w:rsidRPr="00992184" w:rsidRDefault="00992184" w:rsidP="00992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Madep</w:t>
      </w:r>
      <w:proofErr w:type="spellEnd"/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883</w:t>
      </w:r>
    </w:p>
    <w:sectPr w:rsidR="00CE731F" w:rsidRPr="0099218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3D38" w14:textId="77777777" w:rsidR="00002425" w:rsidRDefault="00002425">
      <w:pPr>
        <w:spacing w:after="0" w:line="240" w:lineRule="auto"/>
      </w:pPr>
      <w:r>
        <w:separator/>
      </w:r>
    </w:p>
  </w:endnote>
  <w:endnote w:type="continuationSeparator" w:id="0">
    <w:p w14:paraId="4E2A1B42" w14:textId="77777777" w:rsidR="00002425" w:rsidRDefault="0000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82CA" w14:textId="77777777" w:rsidR="00CE731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7134">
      <w:rPr>
        <w:noProof/>
        <w:color w:val="000000"/>
      </w:rPr>
      <w:t>1</w:t>
    </w:r>
    <w:r>
      <w:rPr>
        <w:color w:val="000000"/>
      </w:rPr>
      <w:fldChar w:fldCharType="end"/>
    </w:r>
  </w:p>
  <w:p w14:paraId="3C1E6DAE" w14:textId="77777777" w:rsidR="00CE731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76626E12" w14:textId="77777777" w:rsidR="00CE731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8A9D7" w14:textId="77777777" w:rsidR="00002425" w:rsidRDefault="00002425">
      <w:pPr>
        <w:spacing w:after="0" w:line="240" w:lineRule="auto"/>
      </w:pPr>
      <w:r>
        <w:separator/>
      </w:r>
    </w:p>
  </w:footnote>
  <w:footnote w:type="continuationSeparator" w:id="0">
    <w:p w14:paraId="6A39370F" w14:textId="77777777" w:rsidR="00002425" w:rsidRDefault="00002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F922" w14:textId="77777777" w:rsidR="00CE731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82C80B7" wp14:editId="7E529829">
          <wp:extent cx="1080000" cy="108000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C77547" w14:textId="77777777" w:rsidR="00CE731F" w:rsidRDefault="00CE73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31F"/>
    <w:rsid w:val="00002425"/>
    <w:rsid w:val="0012392D"/>
    <w:rsid w:val="002348A3"/>
    <w:rsid w:val="002A27D3"/>
    <w:rsid w:val="00466C3F"/>
    <w:rsid w:val="007A6B2D"/>
    <w:rsid w:val="008E23F9"/>
    <w:rsid w:val="00992184"/>
    <w:rsid w:val="00AA7134"/>
    <w:rsid w:val="00CA2885"/>
    <w:rsid w:val="00CE731F"/>
    <w:rsid w:val="00D3283B"/>
    <w:rsid w:val="00E22772"/>
    <w:rsid w:val="00EA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00C2"/>
  <w15:docId w15:val="{BF9117D2-9D9F-4339-855B-0D86AB08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nhideWhenUsed/>
    <w:rsid w:val="00FB7269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B726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FB7269"/>
    <w:rPr>
      <w:vertAlign w:val="superscript"/>
    </w:rPr>
  </w:style>
  <w:style w:type="paragraph" w:styleId="TextosemFormatao">
    <w:name w:val="Plain Text"/>
    <w:basedOn w:val="Normal"/>
    <w:link w:val="TextosemFormataoChar"/>
    <w:rsid w:val="00EF1ADA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EF1ADA"/>
    <w:rPr>
      <w:rFonts w:ascii="Consolas" w:eastAsia="Calibri" w:hAnsi="Consolas" w:cs="Times New Roman"/>
      <w:sz w:val="21"/>
      <w:szCs w:val="21"/>
    </w:rPr>
  </w:style>
  <w:style w:type="table" w:styleId="Tabelacomgrade">
    <w:name w:val="Table Grid"/>
    <w:basedOn w:val="Tabelanormal"/>
    <w:uiPriority w:val="59"/>
    <w:rsid w:val="00EF1ADA"/>
    <w:pPr>
      <w:spacing w:after="0" w:line="240" w:lineRule="auto"/>
    </w:pPr>
    <w:rPr>
      <w:rFonts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0W8CI8QQJnTh+UeTLsJLIgOxlQ==">CgMxLjA4AHIhMTh0alMybEE2WDJoUkw3YlM1R2lSc1BUSFI3VVhzZF9V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461E1B6-EDAB-48A4-8BF9-33B425662EE0}"/>
</file>

<file path=customXml/itemProps3.xml><?xml version="1.0" encoding="utf-8"?>
<ds:datastoreItem xmlns:ds="http://schemas.openxmlformats.org/officeDocument/2006/customXml" ds:itemID="{A8CF67DD-80EE-4512-BF03-6E5810F785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2042</Words>
  <Characters>11033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10</cp:revision>
  <dcterms:created xsi:type="dcterms:W3CDTF">2022-01-17T12:14:00Z</dcterms:created>
  <dcterms:modified xsi:type="dcterms:W3CDTF">2024-01-26T19:59:00Z</dcterms:modified>
</cp:coreProperties>
</file>