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DC3999" w14:textId="77777777" w:rsidR="00472B25" w:rsidRPr="00472B25" w:rsidRDefault="00990E1C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  <w:t>Termo de Abertura</w:t>
      </w:r>
    </w:p>
    <w:p w14:paraId="3CC74C3F" w14:textId="35202FF2" w:rsidR="00851D40" w:rsidRPr="00472B25" w:rsidRDefault="00851D40" w:rsidP="00472B25">
      <w:pPr>
        <w:spacing w:after="120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  <w:r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Procedimento Administrativo </w:t>
      </w:r>
      <w:r w:rsidR="00990E1C" w:rsidRPr="00472B25">
        <w:rPr>
          <w:rFonts w:ascii="Times New Roman" w:hAnsi="Times New Roman" w:cs="Times New Roman"/>
          <w:b/>
          <w:bCs/>
          <w:smallCaps/>
          <w:sz w:val="24"/>
          <w:szCs w:val="24"/>
        </w:rPr>
        <w:t>de Tutela Coletiva</w:t>
      </w:r>
    </w:p>
    <w:p w14:paraId="2A292082" w14:textId="7AF93709" w:rsidR="00472B25" w:rsidRDefault="00472B25" w:rsidP="00990E1C">
      <w:pPr>
        <w:pStyle w:val="SemEspaamento"/>
        <w:rPr>
          <w:rFonts w:ascii="Times New Roman" w:hAnsi="Times New Roman" w:cs="Times New Roman"/>
        </w:rPr>
      </w:pPr>
    </w:p>
    <w:p w14:paraId="44C4EDB2" w14:textId="667ED061" w:rsidR="00851D40" w:rsidRPr="00472B25" w:rsidRDefault="00851D40" w:rsidP="00990E1C">
      <w:pPr>
        <w:pStyle w:val="SemEspaamento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P</w:t>
      </w:r>
      <w:r w:rsidR="00C913B4" w:rsidRPr="00472B25">
        <w:rPr>
          <w:rFonts w:ascii="Times New Roman" w:hAnsi="Times New Roman" w:cs="Times New Roman"/>
          <w:sz w:val="24"/>
          <w:szCs w:val="24"/>
        </w:rPr>
        <w:t>TAC</w:t>
      </w:r>
      <w:r w:rsidRPr="00472B25">
        <w:rPr>
          <w:rFonts w:ascii="Times New Roman" w:hAnsi="Times New Roman" w:cs="Times New Roman"/>
          <w:sz w:val="24"/>
          <w:szCs w:val="24"/>
        </w:rPr>
        <w:t xml:space="preserve"> nº 0</w:t>
      </w:r>
      <w:r w:rsidR="004D3E10">
        <w:rPr>
          <w:rFonts w:ascii="Times New Roman" w:hAnsi="Times New Roman" w:cs="Times New Roman"/>
          <w:sz w:val="24"/>
          <w:szCs w:val="24"/>
        </w:rPr>
        <w:t>5</w:t>
      </w:r>
      <w:r w:rsidRPr="00472B25">
        <w:rPr>
          <w:rFonts w:ascii="Times New Roman" w:hAnsi="Times New Roman" w:cs="Times New Roman"/>
          <w:sz w:val="24"/>
          <w:szCs w:val="24"/>
        </w:rPr>
        <w:t>/2022</w:t>
      </w:r>
    </w:p>
    <w:p w14:paraId="51DF9337" w14:textId="2165BF3A" w:rsidR="00851D40" w:rsidRDefault="00851D40" w:rsidP="00851D40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184E3018" w14:textId="626379AD" w:rsidR="00851D40" w:rsidRDefault="00851D40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  <w:r w:rsidRPr="00472B25">
        <w:rPr>
          <w:rFonts w:ascii="Times New Roman" w:hAnsi="Times New Roman" w:cs="Times New Roman"/>
          <w:sz w:val="24"/>
          <w:szCs w:val="24"/>
        </w:rPr>
        <w:t>EMENTA: Defensoria Pública do Estado de Minas Gerais</w:t>
      </w:r>
      <w:r w:rsidR="00850DF5" w:rsidRPr="00472B25">
        <w:rPr>
          <w:rFonts w:ascii="Times New Roman" w:hAnsi="Times New Roman" w:cs="Times New Roman"/>
          <w:sz w:val="24"/>
          <w:szCs w:val="24"/>
        </w:rPr>
        <w:t>.</w:t>
      </w:r>
      <w:r w:rsidR="004D3E10">
        <w:rPr>
          <w:rFonts w:ascii="Times New Roman" w:hAnsi="Times New Roman" w:cs="Times New Roman"/>
          <w:sz w:val="24"/>
          <w:szCs w:val="24"/>
        </w:rPr>
        <w:t xml:space="preserve"> Obrigatoriedade da vacinação de crianças e adolescentes. Direito à saúde. Princípio da Proteção Integral. </w:t>
      </w:r>
      <w:r w:rsidR="001B6378">
        <w:rPr>
          <w:rFonts w:ascii="Times New Roman" w:hAnsi="Times New Roman" w:cs="Times New Roman"/>
          <w:sz w:val="24"/>
          <w:szCs w:val="24"/>
        </w:rPr>
        <w:t>Construção de política pública.</w:t>
      </w:r>
      <w:r w:rsidR="004D3E10">
        <w:rPr>
          <w:rFonts w:ascii="Times New Roman" w:hAnsi="Times New Roman" w:cs="Times New Roman"/>
          <w:sz w:val="24"/>
          <w:szCs w:val="24"/>
        </w:rPr>
        <w:t xml:space="preserve"> Atuação judicial e extrajudicial.</w:t>
      </w:r>
    </w:p>
    <w:p w14:paraId="40DFFCD6" w14:textId="6BF38777" w:rsidR="00AD11BA" w:rsidRDefault="00AD11BA" w:rsidP="00FE6DF7">
      <w:pPr>
        <w:pStyle w:val="SemEspaamento"/>
        <w:ind w:left="2268"/>
        <w:rPr>
          <w:rFonts w:ascii="Times New Roman" w:hAnsi="Times New Roman" w:cs="Times New Roman"/>
          <w:sz w:val="24"/>
          <w:szCs w:val="24"/>
        </w:rPr>
      </w:pPr>
    </w:p>
    <w:p w14:paraId="7AA8757F" w14:textId="0F01CA53" w:rsidR="00851D40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sz w:val="24"/>
          <w:szCs w:val="24"/>
        </w:rPr>
        <w:t xml:space="preserve">A </w:t>
      </w:r>
      <w:r w:rsidRPr="00C913B4">
        <w:rPr>
          <w:rFonts w:ascii="Times New Roman" w:hAnsi="Times New Roman" w:cs="Times New Roman"/>
          <w:b/>
          <w:bCs/>
          <w:sz w:val="24"/>
          <w:szCs w:val="24"/>
        </w:rPr>
        <w:t>Defensoria Pública do Estado de Minas Gerais</w:t>
      </w:r>
      <w:r w:rsidRPr="00C913B4">
        <w:rPr>
          <w:rFonts w:ascii="Times New Roman" w:hAnsi="Times New Roman" w:cs="Times New Roman"/>
          <w:sz w:val="24"/>
          <w:szCs w:val="24"/>
        </w:rPr>
        <w:t xml:space="preserve">, </w:t>
      </w:r>
      <w:r w:rsidR="007B090D">
        <w:rPr>
          <w:rFonts w:ascii="Times New Roman" w:hAnsi="Times New Roman" w:cs="Times New Roman"/>
          <w:sz w:val="24"/>
          <w:szCs w:val="24"/>
        </w:rPr>
        <w:t xml:space="preserve">no </w:t>
      </w:r>
      <w:r w:rsidR="007B090D" w:rsidRPr="007B090D">
        <w:rPr>
          <w:rFonts w:ascii="Times New Roman" w:hAnsi="Times New Roman" w:cs="Times New Roman"/>
          <w:sz w:val="24"/>
          <w:szCs w:val="24"/>
        </w:rPr>
        <w:t>exercício da</w:t>
      </w:r>
      <w:r w:rsidR="00765E20">
        <w:rPr>
          <w:rFonts w:ascii="Times New Roman" w:hAnsi="Times New Roman" w:cs="Times New Roman"/>
          <w:sz w:val="24"/>
          <w:szCs w:val="24"/>
        </w:rPr>
        <w:t>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atribuições constitucionais e legais que lhe são conferidas pelo art. 5°, inc</w:t>
      </w:r>
      <w:r w:rsidR="007B090D">
        <w:rPr>
          <w:rFonts w:ascii="Times New Roman" w:hAnsi="Times New Roman" w:cs="Times New Roman"/>
          <w:sz w:val="24"/>
          <w:szCs w:val="24"/>
        </w:rPr>
        <w:t>iso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LXXIV </w:t>
      </w:r>
      <w:r w:rsidR="007B090D">
        <w:rPr>
          <w:rFonts w:ascii="Times New Roman" w:hAnsi="Times New Roman" w:cs="Times New Roman"/>
          <w:sz w:val="24"/>
          <w:szCs w:val="24"/>
        </w:rPr>
        <w:t>e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art. 134, ambos da Constituição da República Federativa do Brasil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129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Constituição do Estado de Minas Gerais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1º e</w:t>
      </w:r>
      <w:r w:rsidR="007B090D">
        <w:rPr>
          <w:rFonts w:ascii="Times New Roman" w:hAnsi="Times New Roman" w:cs="Times New Roman"/>
          <w:sz w:val="24"/>
          <w:szCs w:val="24"/>
        </w:rPr>
        <w:t xml:space="preserve"> art.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4°,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I, II, III, VII, </w:t>
      </w:r>
      <w:r w:rsidR="007B090D">
        <w:rPr>
          <w:rFonts w:ascii="Times New Roman" w:hAnsi="Times New Roman" w:cs="Times New Roman"/>
          <w:sz w:val="24"/>
          <w:szCs w:val="24"/>
        </w:rPr>
        <w:t xml:space="preserve">VIII, </w:t>
      </w:r>
      <w:r w:rsidR="007B090D" w:rsidRPr="007B090D">
        <w:rPr>
          <w:rFonts w:ascii="Times New Roman" w:hAnsi="Times New Roman" w:cs="Times New Roman"/>
          <w:sz w:val="24"/>
          <w:szCs w:val="24"/>
        </w:rPr>
        <w:t>X e XI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Federal nº 80/94</w:t>
      </w:r>
      <w:r w:rsidR="007B090D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c/c art. 5°, inc</w:t>
      </w:r>
      <w:r w:rsidR="007B090D">
        <w:rPr>
          <w:rFonts w:ascii="Times New Roman" w:hAnsi="Times New Roman" w:cs="Times New Roman"/>
          <w:sz w:val="24"/>
          <w:szCs w:val="24"/>
        </w:rPr>
        <w:t>isos</w:t>
      </w:r>
      <w:r w:rsidR="007B090D" w:rsidRPr="007B090D">
        <w:rPr>
          <w:rFonts w:ascii="Times New Roman" w:hAnsi="Times New Roman" w:cs="Times New Roman"/>
          <w:sz w:val="24"/>
          <w:szCs w:val="24"/>
        </w:rPr>
        <w:t xml:space="preserve"> I</w:t>
      </w:r>
      <w:r w:rsidR="005D2519">
        <w:rPr>
          <w:rFonts w:ascii="Times New Roman" w:hAnsi="Times New Roman" w:cs="Times New Roman"/>
          <w:sz w:val="24"/>
          <w:szCs w:val="24"/>
        </w:rPr>
        <w:t xml:space="preserve"> e IX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da Lei Complementar Estadual 65/2003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B090D" w:rsidRPr="007B090D">
        <w:rPr>
          <w:rFonts w:ascii="Times New Roman" w:hAnsi="Times New Roman" w:cs="Times New Roman"/>
          <w:sz w:val="24"/>
          <w:szCs w:val="24"/>
        </w:rPr>
        <w:t>e demais dispositivos pertinentes à espécie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nos termos da Deliberação nº 211/2021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9A5509" w:rsidRPr="00C913B4">
        <w:rPr>
          <w:rFonts w:ascii="Times New Roman" w:hAnsi="Times New Roman" w:cs="Times New Roman"/>
          <w:sz w:val="24"/>
          <w:szCs w:val="24"/>
        </w:rPr>
        <w:t>do Conselho Superior da Defensoria Pública do Estado de Minas Gerais</w:t>
      </w:r>
      <w:r w:rsidR="00765E20">
        <w:rPr>
          <w:rFonts w:ascii="Times New Roman" w:hAnsi="Times New Roman" w:cs="Times New Roman"/>
          <w:sz w:val="24"/>
          <w:szCs w:val="24"/>
        </w:rPr>
        <w:t xml:space="preserve">, 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por </w:t>
      </w:r>
      <w:r w:rsidR="00765E20">
        <w:rPr>
          <w:rFonts w:ascii="Times New Roman" w:hAnsi="Times New Roman" w:cs="Times New Roman"/>
          <w:sz w:val="24"/>
          <w:szCs w:val="24"/>
        </w:rPr>
        <w:t>intermédio</w:t>
      </w:r>
      <w:r w:rsidR="00765E20"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765E20">
        <w:rPr>
          <w:rFonts w:ascii="Times New Roman" w:hAnsi="Times New Roman" w:cs="Times New Roman"/>
          <w:sz w:val="24"/>
          <w:szCs w:val="24"/>
        </w:rPr>
        <w:t xml:space="preserve">dos Defensores Públicos </w:t>
      </w:r>
      <w:r w:rsidR="00765E20" w:rsidRPr="00C913B4">
        <w:rPr>
          <w:rFonts w:ascii="Times New Roman" w:hAnsi="Times New Roman" w:cs="Times New Roman"/>
          <w:sz w:val="24"/>
          <w:szCs w:val="24"/>
        </w:rPr>
        <w:t>signatári</w:t>
      </w:r>
      <w:r w:rsidR="00765E20">
        <w:rPr>
          <w:rFonts w:ascii="Times New Roman" w:hAnsi="Times New Roman" w:cs="Times New Roman"/>
          <w:sz w:val="24"/>
          <w:szCs w:val="24"/>
        </w:rPr>
        <w:t>os</w:t>
      </w:r>
      <w:r w:rsidR="00765E20" w:rsidRPr="00C913B4">
        <w:rPr>
          <w:rFonts w:ascii="Times New Roman" w:hAnsi="Times New Roman" w:cs="Times New Roman"/>
          <w:sz w:val="24"/>
          <w:szCs w:val="24"/>
        </w:rPr>
        <w:t>,</w:t>
      </w:r>
      <w:r w:rsidR="00765E20">
        <w:rPr>
          <w:rFonts w:ascii="Times New Roman" w:hAnsi="Times New Roman" w:cs="Times New Roman"/>
          <w:sz w:val="24"/>
          <w:szCs w:val="24"/>
        </w:rPr>
        <w:t xml:space="preserve"> instaura o presente Procedimento Administrativo de Tutela Coletiva</w:t>
      </w:r>
      <w:r w:rsidR="00472B25">
        <w:rPr>
          <w:rFonts w:ascii="Times New Roman" w:hAnsi="Times New Roman" w:cs="Times New Roman"/>
          <w:sz w:val="24"/>
          <w:szCs w:val="24"/>
        </w:rPr>
        <w:t xml:space="preserve"> (PTAC)</w:t>
      </w:r>
      <w:r w:rsidR="005D2519">
        <w:rPr>
          <w:rFonts w:ascii="Times New Roman" w:hAnsi="Times New Roman" w:cs="Times New Roman"/>
          <w:sz w:val="24"/>
          <w:szCs w:val="24"/>
        </w:rPr>
        <w:t>,</w:t>
      </w:r>
      <w:r w:rsidR="00472B25">
        <w:rPr>
          <w:rFonts w:ascii="Times New Roman" w:hAnsi="Times New Roman" w:cs="Times New Roman"/>
          <w:sz w:val="24"/>
          <w:szCs w:val="24"/>
        </w:rPr>
        <w:t xml:space="preserve"> </w:t>
      </w:r>
      <w:r w:rsidR="00A22EB5">
        <w:rPr>
          <w:rFonts w:ascii="Times New Roman" w:hAnsi="Times New Roman" w:cs="Times New Roman"/>
          <w:sz w:val="24"/>
          <w:szCs w:val="24"/>
        </w:rPr>
        <w:t>a fim de</w:t>
      </w:r>
      <w:r w:rsidR="00315414">
        <w:rPr>
          <w:rFonts w:ascii="Times New Roman" w:hAnsi="Times New Roman" w:cs="Times New Roman"/>
          <w:sz w:val="24"/>
          <w:szCs w:val="24"/>
        </w:rPr>
        <w:t xml:space="preserve"> participar da construção de política pública</w:t>
      </w:r>
      <w:r w:rsidR="00A22EB5">
        <w:rPr>
          <w:rFonts w:ascii="Times New Roman" w:hAnsi="Times New Roman" w:cs="Times New Roman"/>
          <w:sz w:val="24"/>
          <w:szCs w:val="24"/>
        </w:rPr>
        <w:t xml:space="preserve"> </w:t>
      </w:r>
      <w:r w:rsidR="00315414">
        <w:rPr>
          <w:rFonts w:ascii="Times New Roman" w:hAnsi="Times New Roman" w:cs="Times New Roman"/>
          <w:sz w:val="24"/>
          <w:szCs w:val="24"/>
        </w:rPr>
        <w:t xml:space="preserve">e </w:t>
      </w:r>
      <w:r w:rsidR="00A22EB5">
        <w:rPr>
          <w:rFonts w:ascii="Times New Roman" w:hAnsi="Times New Roman" w:cs="Times New Roman"/>
          <w:sz w:val="24"/>
          <w:szCs w:val="24"/>
        </w:rPr>
        <w:t>adotar</w:t>
      </w:r>
      <w:r w:rsidR="00472B25">
        <w:rPr>
          <w:rFonts w:ascii="Times New Roman" w:hAnsi="Times New Roman" w:cs="Times New Roman"/>
          <w:sz w:val="24"/>
          <w:szCs w:val="24"/>
        </w:rPr>
        <w:t xml:space="preserve"> providências </w:t>
      </w:r>
      <w:r w:rsidR="00A22EB5">
        <w:rPr>
          <w:rFonts w:ascii="Times New Roman" w:hAnsi="Times New Roman" w:cs="Times New Roman"/>
          <w:sz w:val="24"/>
          <w:szCs w:val="24"/>
        </w:rPr>
        <w:t xml:space="preserve">cabíveis, </w:t>
      </w:r>
      <w:r w:rsidR="00472B25">
        <w:rPr>
          <w:rFonts w:ascii="Times New Roman" w:hAnsi="Times New Roman" w:cs="Times New Roman"/>
          <w:sz w:val="24"/>
          <w:szCs w:val="24"/>
        </w:rPr>
        <w:t xml:space="preserve">voltadas </w:t>
      </w:r>
      <w:r w:rsidR="00315414">
        <w:rPr>
          <w:rFonts w:ascii="Times New Roman" w:hAnsi="Times New Roman" w:cs="Times New Roman"/>
          <w:sz w:val="24"/>
          <w:szCs w:val="24"/>
        </w:rPr>
        <w:t xml:space="preserve">à garantia </w:t>
      </w:r>
      <w:r w:rsidR="007D1E5B">
        <w:rPr>
          <w:rFonts w:ascii="Times New Roman" w:hAnsi="Times New Roman" w:cs="Times New Roman"/>
          <w:sz w:val="24"/>
          <w:szCs w:val="24"/>
        </w:rPr>
        <w:t>do direito à saúde de crianças e adolescentes, por meio do reconhecimento da obrigatoriedade da vacinação</w:t>
      </w:r>
      <w:r w:rsidR="005754CD">
        <w:rPr>
          <w:rFonts w:ascii="Times New Roman" w:hAnsi="Times New Roman" w:cs="Times New Roman"/>
          <w:sz w:val="24"/>
          <w:szCs w:val="24"/>
        </w:rPr>
        <w:t xml:space="preserve">, conforme </w:t>
      </w:r>
      <w:r w:rsidR="00A22EB5">
        <w:rPr>
          <w:rFonts w:ascii="Times New Roman" w:hAnsi="Times New Roman" w:cs="Times New Roman"/>
          <w:sz w:val="24"/>
          <w:szCs w:val="24"/>
        </w:rPr>
        <w:t xml:space="preserve">síntese e </w:t>
      </w:r>
      <w:r w:rsidR="005754CD">
        <w:rPr>
          <w:rFonts w:ascii="Times New Roman" w:hAnsi="Times New Roman" w:cs="Times New Roman"/>
          <w:sz w:val="24"/>
          <w:szCs w:val="24"/>
        </w:rPr>
        <w:t>considerações</w:t>
      </w:r>
      <w:r w:rsidR="00AD11BA">
        <w:rPr>
          <w:rFonts w:ascii="Times New Roman" w:hAnsi="Times New Roman" w:cs="Times New Roman"/>
          <w:sz w:val="24"/>
          <w:szCs w:val="24"/>
        </w:rPr>
        <w:t xml:space="preserve"> </w:t>
      </w:r>
      <w:r w:rsidR="00330811">
        <w:rPr>
          <w:rFonts w:ascii="Times New Roman" w:hAnsi="Times New Roman" w:cs="Times New Roman"/>
          <w:sz w:val="24"/>
          <w:szCs w:val="24"/>
        </w:rPr>
        <w:t>a seguir expostas</w:t>
      </w:r>
      <w:r w:rsidR="005754CD">
        <w:rPr>
          <w:rFonts w:ascii="Times New Roman" w:hAnsi="Times New Roman" w:cs="Times New Roman"/>
          <w:sz w:val="24"/>
          <w:szCs w:val="24"/>
        </w:rPr>
        <w:t>.</w:t>
      </w:r>
    </w:p>
    <w:p w14:paraId="5A763567" w14:textId="03EB871D" w:rsidR="00A22EB5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3F4180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SÍNTESE DOS FATOS:</w:t>
      </w:r>
    </w:p>
    <w:p w14:paraId="57C09FA5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8A9331C" w14:textId="15B2D99E" w:rsidR="005D2519" w:rsidRDefault="00B26CDF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A Defensoria Pública do Estado de Minas Gerais foi provocada pelo Movimento de Mães Pró-Vacina e pelo Gabinete da Deputada Estadual Beatriz Cerqueira a realizar reunião para tratar sobre os baixos índices de vacinação infantil contra a COVID-19, bem como </w:t>
      </w:r>
      <w:r w:rsidR="0030655F">
        <w:rPr>
          <w:rFonts w:ascii="Times New Roman" w:hAnsi="Times New Roman" w:cs="Times New Roman"/>
          <w:color w:val="000000"/>
          <w:sz w:val="24"/>
          <w:szCs w:val="24"/>
        </w:rPr>
        <w:t xml:space="preserve">abordar </w:t>
      </w:r>
      <w:r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="0030655F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risco</w:t>
      </w:r>
      <w:r w:rsidR="0030655F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para a saúde de crianças e adolescentes</w:t>
      </w:r>
      <w:r w:rsidR="0030655F">
        <w:rPr>
          <w:rFonts w:ascii="Times New Roman" w:hAnsi="Times New Roman" w:cs="Times New Roman"/>
          <w:color w:val="000000"/>
          <w:sz w:val="24"/>
          <w:szCs w:val="24"/>
        </w:rPr>
        <w:t>, decorrentes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ressurgimento de doenças já consideradas erradicadas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em razão das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campanhas de imunização</w:t>
      </w:r>
      <w:r w:rsidR="0030655F">
        <w:rPr>
          <w:rFonts w:ascii="Times New Roman" w:hAnsi="Times New Roman" w:cs="Times New Roman"/>
          <w:color w:val="000000"/>
          <w:sz w:val="24"/>
          <w:szCs w:val="24"/>
        </w:rPr>
        <w:t xml:space="preserve"> pretéritas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30655F">
        <w:rPr>
          <w:rFonts w:ascii="Times New Roman" w:hAnsi="Times New Roman" w:cs="Times New Roman"/>
          <w:color w:val="000000"/>
          <w:sz w:val="24"/>
          <w:szCs w:val="24"/>
        </w:rPr>
        <w:t>Realizado o primeiro encontro, f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oram tecidas queixas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quanto à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s falhas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comunicação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do cronograma de vacinação, bem como </w:t>
      </w:r>
      <w:r w:rsidR="0030655F">
        <w:rPr>
          <w:rFonts w:ascii="Times New Roman" w:hAnsi="Times New Roman" w:cs="Times New Roman"/>
          <w:color w:val="000000"/>
          <w:sz w:val="24"/>
          <w:szCs w:val="24"/>
        </w:rPr>
        <w:t xml:space="preserve">ressaltada a </w:t>
      </w:r>
      <w:r>
        <w:rPr>
          <w:rFonts w:ascii="Times New Roman" w:hAnsi="Times New Roman" w:cs="Times New Roman"/>
          <w:color w:val="000000"/>
          <w:sz w:val="24"/>
          <w:szCs w:val="24"/>
        </w:rPr>
        <w:t>preocupação com questionamentos difundidos na sociedade quanto à eficácia e segurança</w:t>
      </w:r>
      <w:r w:rsidR="007D1E5B">
        <w:rPr>
          <w:rFonts w:ascii="Times New Roman" w:hAnsi="Times New Roman" w:cs="Times New Roman"/>
          <w:color w:val="000000"/>
          <w:sz w:val="24"/>
          <w:szCs w:val="24"/>
        </w:rPr>
        <w:t xml:space="preserve">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imunizante desenvolvido para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D1E5B">
        <w:rPr>
          <w:rFonts w:ascii="Times New Roman" w:hAnsi="Times New Roman" w:cs="Times New Roman"/>
          <w:color w:val="000000"/>
          <w:sz w:val="24"/>
          <w:szCs w:val="24"/>
        </w:rPr>
        <w:t xml:space="preserve">o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combate à pandemia de COVID-19.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Ponderou-se, ainda, o risco de retomada das aulas presenciais</w:t>
      </w:r>
      <w:r w:rsidR="007D1E5B">
        <w:rPr>
          <w:rFonts w:ascii="Times New Roman" w:hAnsi="Times New Roman" w:cs="Times New Roman"/>
          <w:color w:val="000000"/>
          <w:sz w:val="24"/>
          <w:szCs w:val="24"/>
        </w:rPr>
        <w:t xml:space="preserve"> e retiradas das máscaras de proteção individual,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 xml:space="preserve"> diante das baixas taxas de vacinação dos estudantes</w:t>
      </w:r>
      <w:r w:rsidR="007D1E5B">
        <w:rPr>
          <w:rFonts w:ascii="Times New Roman" w:hAnsi="Times New Roman" w:cs="Times New Roman"/>
          <w:color w:val="000000"/>
          <w:sz w:val="24"/>
          <w:szCs w:val="24"/>
        </w:rPr>
        <w:t>. Registrou-se também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 xml:space="preserve"> o elevado índice de evasão escolar e a queda do aprendizado pelos alunos ao longo do tempo de ensino remoto.</w:t>
      </w:r>
    </w:p>
    <w:p w14:paraId="4829297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E299EE3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8A4">
        <w:rPr>
          <w:rFonts w:ascii="Times New Roman" w:hAnsi="Times New Roman" w:cs="Times New Roman"/>
          <w:b/>
          <w:bCs/>
          <w:color w:val="000000"/>
          <w:sz w:val="24"/>
          <w:szCs w:val="24"/>
        </w:rPr>
        <w:t>ENVOLVIDOS</w:t>
      </w:r>
      <w:r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4DC15BAE" w14:textId="77777777" w:rsidR="00A22EB5" w:rsidRDefault="00A22EB5" w:rsidP="00A22EB5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66FD559B" w14:textId="4F3BDE0C" w:rsidR="00330811" w:rsidRDefault="00A22EB5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40712F">
        <w:rPr>
          <w:rFonts w:ascii="Times New Roman" w:hAnsi="Times New Roman" w:cs="Times New Roman"/>
          <w:color w:val="000000"/>
          <w:sz w:val="24"/>
          <w:szCs w:val="24"/>
        </w:rPr>
        <w:t>Governo do Estado de Minas Gerais</w:t>
      </w:r>
    </w:p>
    <w:p w14:paraId="118A1E9A" w14:textId="27BC237C" w:rsidR="0041228A" w:rsidRDefault="00042106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40712F">
        <w:rPr>
          <w:rFonts w:ascii="Times New Roman" w:hAnsi="Times New Roman" w:cs="Times New Roman"/>
          <w:color w:val="000000"/>
          <w:sz w:val="24"/>
          <w:szCs w:val="24"/>
        </w:rPr>
        <w:t xml:space="preserve">Secretaria de Estado de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Saúde</w:t>
      </w:r>
    </w:p>
    <w:p w14:paraId="73A41632" w14:textId="7F842324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Secretaria de Estado de Educação</w:t>
      </w:r>
    </w:p>
    <w:p w14:paraId="73D9F695" w14:textId="5A91452B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Prefeituras Municipais</w:t>
      </w:r>
    </w:p>
    <w:p w14:paraId="689CBF55" w14:textId="4A7188C8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</w:t>
      </w:r>
      <w:r w:rsidR="000058B8">
        <w:rPr>
          <w:rFonts w:ascii="Times New Roman" w:hAnsi="Times New Roman" w:cs="Times New Roman"/>
          <w:color w:val="000000"/>
          <w:sz w:val="24"/>
          <w:szCs w:val="24"/>
        </w:rPr>
        <w:t>Secretarias Municipais de Saúde</w:t>
      </w:r>
    </w:p>
    <w:p w14:paraId="00994E6E" w14:textId="1E4F6BE0" w:rsidR="000058B8" w:rsidRDefault="000058B8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 Secretarias Municipais de Educação</w:t>
      </w:r>
    </w:p>
    <w:p w14:paraId="67EA1FE1" w14:textId="51C1385D" w:rsidR="007D1E5B" w:rsidRDefault="007D1E5B" w:rsidP="006648B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7. Conselhos Tutelares</w:t>
      </w:r>
    </w:p>
    <w:p w14:paraId="1BC90B03" w14:textId="77777777" w:rsidR="0040712F" w:rsidRDefault="0040712F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B07EC7" w14:textId="4AC8491F" w:rsidR="00851D40" w:rsidRPr="00C913B4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sz w:val="24"/>
          <w:szCs w:val="24"/>
        </w:rPr>
        <w:t xml:space="preserve">CONSIDERANDO </w:t>
      </w:r>
      <w:r w:rsidRPr="00C913B4">
        <w:rPr>
          <w:rFonts w:ascii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inciso LXXIV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do art. 5</w:t>
      </w:r>
      <w:r w:rsidR="00A9311C">
        <w:rPr>
          <w:rFonts w:ascii="Times New Roman" w:hAnsi="Times New Roman" w:cs="Times New Roman"/>
          <w:sz w:val="24"/>
          <w:szCs w:val="24"/>
        </w:rPr>
        <w:t xml:space="preserve">º, </w:t>
      </w:r>
      <w:r w:rsidRPr="00C913B4">
        <w:rPr>
          <w:rFonts w:ascii="Times New Roman" w:hAnsi="Times New Roman" w:cs="Times New Roman"/>
          <w:sz w:val="24"/>
          <w:szCs w:val="24"/>
        </w:rPr>
        <w:t xml:space="preserve"> da Constituição Federal e do art</w:t>
      </w:r>
      <w:r w:rsidR="00EC7C26">
        <w:rPr>
          <w:rFonts w:ascii="Times New Roman" w:hAnsi="Times New Roman" w:cs="Times New Roman"/>
          <w:sz w:val="24"/>
          <w:szCs w:val="24"/>
        </w:rPr>
        <w:t>.</w:t>
      </w:r>
      <w:r w:rsidRPr="00C913B4">
        <w:rPr>
          <w:rFonts w:ascii="Times New Roman" w:hAnsi="Times New Roman" w:cs="Times New Roman"/>
          <w:sz w:val="24"/>
          <w:szCs w:val="24"/>
        </w:rPr>
        <w:t xml:space="preserve"> 1º</w:t>
      </w:r>
      <w:r w:rsidR="00A9311C">
        <w:rPr>
          <w:rFonts w:ascii="Times New Roman" w:hAnsi="Times New Roman" w:cs="Times New Roman"/>
          <w:sz w:val="24"/>
          <w:szCs w:val="24"/>
        </w:rPr>
        <w:t xml:space="preserve">, </w:t>
      </w:r>
      <w:r w:rsidRPr="00C913B4">
        <w:rPr>
          <w:rFonts w:ascii="Times New Roman" w:hAnsi="Times New Roman" w:cs="Times New Roman"/>
          <w:sz w:val="24"/>
          <w:szCs w:val="24"/>
        </w:rPr>
        <w:t>da Lei Complementar Federal nº 80/1994;</w:t>
      </w:r>
    </w:p>
    <w:p w14:paraId="7F5A921D" w14:textId="77777777" w:rsidR="00B066D7" w:rsidRPr="00C913B4" w:rsidRDefault="00B066D7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B98F75" w14:textId="77777777" w:rsidR="0041228A" w:rsidRP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>que é dever do Estado dar efetividade aos princípios constitucionais da cidadania e da dignidade da pessoa humana, bem como cumprir com seus objetivos fundamentais de construir uma sociedade livre, justa e solidária, além de promover o bem de todos, sem preconceitos de raça, sexo ou quaisquer outras formas de discriminação (art. 1º, incisos II e III, e art. 3º, incisos I e IV, da CRFB/1988);</w:t>
      </w:r>
    </w:p>
    <w:p w14:paraId="6CEC9C18" w14:textId="4C2D29CC" w:rsidR="0006102D" w:rsidRDefault="0006102D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065560" w14:textId="7B24D7FE" w:rsidR="0041228A" w:rsidRDefault="0041228A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228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CONSIDERANDO </w:t>
      </w:r>
      <w:r w:rsidRPr="0041228A">
        <w:rPr>
          <w:rFonts w:ascii="Times New Roman" w:hAnsi="Times New Roman" w:cs="Times New Roman"/>
          <w:sz w:val="24"/>
          <w:szCs w:val="24"/>
        </w:rPr>
        <w:t xml:space="preserve">que </w:t>
      </w:r>
      <w:r w:rsidR="008364F5">
        <w:rPr>
          <w:rFonts w:ascii="Times New Roman" w:hAnsi="Times New Roman" w:cs="Times New Roman"/>
          <w:sz w:val="24"/>
          <w:szCs w:val="24"/>
        </w:rPr>
        <w:t>é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 dever da família, da sociedade e do Estado assegurar à criança, ao adolescente e ao jovem, com absoluta prioridade, </w:t>
      </w:r>
      <w:r w:rsidR="008364F5">
        <w:rPr>
          <w:rFonts w:ascii="Times New Roman" w:hAnsi="Times New Roman" w:cs="Times New Roman"/>
          <w:sz w:val="24"/>
          <w:szCs w:val="24"/>
        </w:rPr>
        <w:t xml:space="preserve">dentre outras garantias, </w:t>
      </w:r>
      <w:r w:rsidR="008364F5" w:rsidRPr="008364F5">
        <w:rPr>
          <w:rFonts w:ascii="Times New Roman" w:hAnsi="Times New Roman" w:cs="Times New Roman"/>
          <w:sz w:val="24"/>
          <w:szCs w:val="24"/>
        </w:rPr>
        <w:t>o direito à vida, à saúde</w:t>
      </w:r>
      <w:r w:rsidR="008364F5">
        <w:rPr>
          <w:rFonts w:ascii="Times New Roman" w:hAnsi="Times New Roman" w:cs="Times New Roman"/>
          <w:sz w:val="24"/>
          <w:szCs w:val="24"/>
        </w:rPr>
        <w:t>,</w:t>
      </w:r>
      <w:r w:rsidR="008364F5" w:rsidRPr="008364F5">
        <w:rPr>
          <w:rFonts w:ascii="Times New Roman" w:hAnsi="Times New Roman" w:cs="Times New Roman"/>
          <w:sz w:val="24"/>
          <w:szCs w:val="24"/>
        </w:rPr>
        <w:t xml:space="preserve"> à educação, à dignidade, além de colocá-los a salvo de toda forma de negligência</w:t>
      </w:r>
      <w:r w:rsidR="008364F5">
        <w:rPr>
          <w:rFonts w:ascii="Times New Roman" w:hAnsi="Times New Roman" w:cs="Times New Roman"/>
          <w:sz w:val="24"/>
          <w:szCs w:val="24"/>
        </w:rPr>
        <w:t xml:space="preserve"> (nos termos do art. 227, da </w:t>
      </w:r>
      <w:r w:rsidR="008364F5" w:rsidRPr="0041228A">
        <w:rPr>
          <w:rFonts w:ascii="Times New Roman" w:hAnsi="Times New Roman" w:cs="Times New Roman"/>
          <w:sz w:val="24"/>
          <w:szCs w:val="24"/>
        </w:rPr>
        <w:t>CRFB/1988</w:t>
      </w:r>
      <w:r w:rsidR="008364F5">
        <w:rPr>
          <w:rFonts w:ascii="Times New Roman" w:hAnsi="Times New Roman" w:cs="Times New Roman"/>
          <w:sz w:val="24"/>
          <w:szCs w:val="24"/>
        </w:rPr>
        <w:t>);</w:t>
      </w:r>
    </w:p>
    <w:p w14:paraId="3B1C1131" w14:textId="3ECC6648" w:rsidR="00D057F2" w:rsidRDefault="00D057F2" w:rsidP="0041228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0D3BF3" w14:textId="13F39B5E" w:rsidR="00D057F2" w:rsidRDefault="00D057F2" w:rsidP="00D0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8364F5">
        <w:rPr>
          <w:rFonts w:ascii="Times New Roman" w:hAnsi="Times New Roman" w:cs="Times New Roman"/>
          <w:bCs/>
          <w:sz w:val="24"/>
          <w:szCs w:val="24"/>
        </w:rPr>
        <w:t>a</w:t>
      </w:r>
      <w:r w:rsidR="008364F5" w:rsidRPr="008364F5">
        <w:rPr>
          <w:rFonts w:ascii="Times New Roman" w:hAnsi="Times New Roman" w:cs="Times New Roman"/>
          <w:bCs/>
          <w:sz w:val="24"/>
          <w:szCs w:val="24"/>
        </w:rPr>
        <w:t xml:space="preserve"> saúde é direito de todos e dever do Estado, garantido mediante políticas sociais e econômicas que visem à redução do risco de doença e de outros agravos e ao acesso universal e igualitário às ações e serviços para sua promoção, proteção e recuperação</w:t>
      </w:r>
      <w:r w:rsidR="008364F5">
        <w:rPr>
          <w:rFonts w:ascii="Times New Roman" w:hAnsi="Times New Roman" w:cs="Times New Roman"/>
          <w:bCs/>
          <w:sz w:val="24"/>
          <w:szCs w:val="24"/>
        </w:rPr>
        <w:t xml:space="preserve">, dando prioridade para as atividades preventivas (conforme art. 196, c/c art. 198, inciso II, da </w:t>
      </w:r>
      <w:r w:rsidR="008364F5" w:rsidRPr="0041228A">
        <w:rPr>
          <w:rFonts w:ascii="Times New Roman" w:hAnsi="Times New Roman" w:cs="Times New Roman"/>
          <w:sz w:val="24"/>
          <w:szCs w:val="24"/>
        </w:rPr>
        <w:t>CRFB/1988</w:t>
      </w:r>
      <w:r w:rsidR="008364F5">
        <w:rPr>
          <w:rFonts w:ascii="Times New Roman" w:hAnsi="Times New Roman" w:cs="Times New Roman"/>
          <w:sz w:val="24"/>
          <w:szCs w:val="24"/>
        </w:rPr>
        <w:t>);</w:t>
      </w:r>
    </w:p>
    <w:p w14:paraId="039C2E22" w14:textId="19A27EAF" w:rsidR="005F6685" w:rsidRDefault="005F6685" w:rsidP="00D0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A3A441" w14:textId="326406A1" w:rsid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fundamentais inerentes à pessoa humana, a fim de lhes permitir o pleno desenvolvimento físico, mental, moral, espiritual e social, em condições de liberdade e de dignidade;</w:t>
      </w:r>
    </w:p>
    <w:p w14:paraId="425F0C74" w14:textId="536DA04C" w:rsid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D46D0AB" w14:textId="345518F5" w:rsid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F6685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5F6685">
        <w:rPr>
          <w:rFonts w:ascii="Times New Roman" w:hAnsi="Times New Roman" w:cs="Times New Roman"/>
          <w:bCs/>
          <w:sz w:val="24"/>
          <w:szCs w:val="24"/>
        </w:rPr>
        <w:t xml:space="preserve"> 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</w:t>
      </w:r>
    </w:p>
    <w:p w14:paraId="3FAB3284" w14:textId="25BDBEAE" w:rsid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E21A2A9" w14:textId="52515307" w:rsidR="005F6685" w:rsidRDefault="007F1E01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057F2">
        <w:rPr>
          <w:rFonts w:ascii="Times New Roman" w:hAnsi="Times New Roman" w:cs="Times New Roman"/>
          <w:b/>
          <w:sz w:val="24"/>
          <w:szCs w:val="24"/>
        </w:rPr>
        <w:t>CONSIDERANDO</w:t>
      </w:r>
      <w:r w:rsidRPr="00D057F2">
        <w:rPr>
          <w:rFonts w:ascii="Times New Roman" w:hAnsi="Times New Roman" w:cs="Times New Roman"/>
          <w:bCs/>
          <w:sz w:val="24"/>
          <w:szCs w:val="24"/>
        </w:rPr>
        <w:t xml:space="preserve"> que </w:t>
      </w:r>
      <w:r w:rsidR="005F6685">
        <w:rPr>
          <w:rFonts w:ascii="Times New Roman" w:hAnsi="Times New Roman" w:cs="Times New Roman"/>
          <w:bCs/>
          <w:sz w:val="24"/>
          <w:szCs w:val="24"/>
        </w:rPr>
        <w:t xml:space="preserve">o art. 14, caput e § 1º, </w:t>
      </w:r>
      <w:r w:rsidR="005F6685" w:rsidRPr="005F6685">
        <w:rPr>
          <w:rFonts w:ascii="Times New Roman" w:hAnsi="Times New Roman" w:cs="Times New Roman"/>
          <w:bCs/>
          <w:sz w:val="24"/>
          <w:szCs w:val="24"/>
        </w:rPr>
        <w:t>da Lei 8.069</w:t>
      </w:r>
      <w:r w:rsid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685" w:rsidRPr="005F6685">
        <w:rPr>
          <w:rFonts w:ascii="Times New Roman" w:hAnsi="Times New Roman" w:cs="Times New Roman"/>
          <w:bCs/>
          <w:sz w:val="24"/>
          <w:szCs w:val="24"/>
        </w:rPr>
        <w:t>(Estatuto da Criança e do Adolescente - ECA)</w:t>
      </w:r>
      <w:r w:rsidR="005F6685">
        <w:rPr>
          <w:rFonts w:ascii="Times New Roman" w:hAnsi="Times New Roman" w:cs="Times New Roman"/>
          <w:bCs/>
          <w:sz w:val="24"/>
          <w:szCs w:val="24"/>
        </w:rPr>
        <w:t xml:space="preserve"> estabelece que</w:t>
      </w:r>
      <w:r w:rsidR="005F6685" w:rsidRPr="005F668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6685">
        <w:rPr>
          <w:rFonts w:ascii="Times New Roman" w:hAnsi="Times New Roman" w:cs="Times New Roman"/>
          <w:bCs/>
          <w:sz w:val="24"/>
          <w:szCs w:val="24"/>
        </w:rPr>
        <w:t>o</w:t>
      </w:r>
      <w:r w:rsidR="005F6685" w:rsidRPr="005F6685">
        <w:rPr>
          <w:rFonts w:ascii="Times New Roman" w:hAnsi="Times New Roman" w:cs="Times New Roman"/>
          <w:bCs/>
          <w:sz w:val="24"/>
          <w:szCs w:val="24"/>
        </w:rPr>
        <w:t xml:space="preserve"> Sistema Único de Saúde promoverá programas de assistência médica e odontológica para a prevenção das enfermidades que ordinariamente afetam a população infantil, </w:t>
      </w:r>
      <w:r w:rsidR="005F6685">
        <w:rPr>
          <w:rFonts w:ascii="Times New Roman" w:hAnsi="Times New Roman" w:cs="Times New Roman"/>
          <w:bCs/>
          <w:sz w:val="24"/>
          <w:szCs w:val="24"/>
        </w:rPr>
        <w:t>bem como</w:t>
      </w:r>
      <w:r w:rsidR="005F6685" w:rsidRPr="005F6685">
        <w:rPr>
          <w:rFonts w:ascii="Times New Roman" w:hAnsi="Times New Roman" w:cs="Times New Roman"/>
          <w:bCs/>
          <w:sz w:val="24"/>
          <w:szCs w:val="24"/>
        </w:rPr>
        <w:t xml:space="preserve"> campanhas de educação sanitária para pais, educadores e alunos</w:t>
      </w:r>
      <w:bookmarkStart w:id="0" w:name="art14p"/>
      <w:bookmarkStart w:id="1" w:name="art14§1"/>
      <w:bookmarkEnd w:id="0"/>
      <w:bookmarkEnd w:id="1"/>
      <w:r w:rsidR="005F6685">
        <w:rPr>
          <w:rFonts w:ascii="Times New Roman" w:hAnsi="Times New Roman" w:cs="Times New Roman"/>
          <w:bCs/>
          <w:sz w:val="24"/>
          <w:szCs w:val="24"/>
        </w:rPr>
        <w:t>, prevendo ser</w:t>
      </w:r>
      <w:r w:rsidR="005F6685" w:rsidRPr="005F6685">
        <w:rPr>
          <w:rFonts w:ascii="Times New Roman" w:hAnsi="Times New Roman" w:cs="Times New Roman"/>
          <w:bCs/>
          <w:sz w:val="24"/>
          <w:szCs w:val="24"/>
        </w:rPr>
        <w:t xml:space="preserve"> obrigatória a vacinação das crianças nos casos recomendados pelas autoridades sanitárias</w:t>
      </w:r>
      <w:r w:rsidR="005F6685">
        <w:rPr>
          <w:rFonts w:ascii="Times New Roman" w:hAnsi="Times New Roman" w:cs="Times New Roman"/>
          <w:bCs/>
          <w:sz w:val="24"/>
          <w:szCs w:val="24"/>
        </w:rPr>
        <w:t>;</w:t>
      </w:r>
    </w:p>
    <w:p w14:paraId="14EB1EEB" w14:textId="1B0DDC04" w:rsid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DBE333B" w14:textId="1D48A831" w:rsidR="005F6685" w:rsidRPr="005F6685" w:rsidRDefault="005F6685" w:rsidP="005F6685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lastRenderedPageBreak/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</w:t>
      </w:r>
      <w:r w:rsidR="001B1C84">
        <w:rPr>
          <w:rFonts w:ascii="Times New Roman" w:hAnsi="Times New Roman" w:cs="Times New Roman"/>
          <w:sz w:val="24"/>
          <w:szCs w:val="24"/>
        </w:rPr>
        <w:t xml:space="preserve"> a Lei 13.979, ao prever as medidas estatais para combate à pandemia de coronavírus, estabeleceu que, para enfretamento da emergência de saúde pública de importância internacional decorrente da COVID-19, as autoridades podem adotar, dentre outras medidas, a vacinação (art. 3º, inciso III, alínea “d”, da Lei 13.979);</w:t>
      </w:r>
    </w:p>
    <w:p w14:paraId="1974C76F" w14:textId="2B6A00A4" w:rsidR="007F1E01" w:rsidRPr="00D057F2" w:rsidRDefault="007F1E01" w:rsidP="007F1E01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04426B" w14:textId="50DC23DE" w:rsidR="007F1E01" w:rsidRDefault="001B1C84" w:rsidP="00D0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a </w:t>
      </w:r>
      <w:r w:rsidRPr="001B1C84">
        <w:rPr>
          <w:rFonts w:ascii="Times New Roman" w:hAnsi="Times New Roman" w:cs="Times New Roman"/>
          <w:sz w:val="24"/>
          <w:szCs w:val="24"/>
        </w:rPr>
        <w:t>Anvisa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B1C84">
        <w:rPr>
          <w:rFonts w:ascii="Times New Roman" w:hAnsi="Times New Roman" w:cs="Times New Roman"/>
          <w:sz w:val="24"/>
          <w:szCs w:val="24"/>
        </w:rPr>
        <w:t>por meio da Resolução nº 4.678</w:t>
      </w:r>
      <w:r>
        <w:rPr>
          <w:rFonts w:ascii="Times New Roman" w:hAnsi="Times New Roman" w:cs="Times New Roman"/>
          <w:bCs/>
          <w:sz w:val="24"/>
          <w:szCs w:val="24"/>
        </w:rPr>
        <w:t>,</w:t>
      </w:r>
      <w:r w:rsidRPr="001B1C84">
        <w:rPr>
          <w:rFonts w:ascii="Times New Roman" w:hAnsi="Times New Roman" w:cs="Times New Roman"/>
          <w:sz w:val="24"/>
          <w:szCs w:val="24"/>
        </w:rPr>
        <w:t xml:space="preserve"> aprovou a indicação da vacina Pfizer para imunização contra </w:t>
      </w:r>
      <w:r>
        <w:rPr>
          <w:rFonts w:ascii="Times New Roman" w:hAnsi="Times New Roman" w:cs="Times New Roman"/>
          <w:sz w:val="24"/>
          <w:szCs w:val="24"/>
        </w:rPr>
        <w:t>COVID</w:t>
      </w:r>
      <w:r w:rsidRPr="001B1C84">
        <w:rPr>
          <w:rFonts w:ascii="Times New Roman" w:hAnsi="Times New Roman" w:cs="Times New Roman"/>
          <w:sz w:val="24"/>
          <w:szCs w:val="24"/>
        </w:rPr>
        <w:t xml:space="preserve">-19 em crianças de 5 a 11 anos de idade, </w:t>
      </w:r>
      <w:r w:rsidR="00CA3B79">
        <w:rPr>
          <w:rFonts w:ascii="Times New Roman" w:hAnsi="Times New Roman" w:cs="Times New Roman"/>
          <w:sz w:val="24"/>
          <w:szCs w:val="24"/>
        </w:rPr>
        <w:t>e que a referida autarquia também aprovou o uso pediátrico da vacina CoronaVac para o público compreendido entre 6 e 17 anos;</w:t>
      </w:r>
    </w:p>
    <w:p w14:paraId="2858E945" w14:textId="75F9CBF0" w:rsidR="005670CA" w:rsidRDefault="005670CA" w:rsidP="00D057F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6CC4A6" w14:textId="0EC83F12" w:rsidR="005670CA" w:rsidRDefault="005670CA" w:rsidP="00567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o Supremo Tribunal Federal (STF), no julgamento do </w:t>
      </w:r>
      <w:r w:rsidRPr="005670CA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ecurso Extraordinário R</w:t>
      </w:r>
      <w:r w:rsidRPr="005670CA">
        <w:rPr>
          <w:rFonts w:ascii="Times New Roman" w:hAnsi="Times New Roman" w:cs="Times New Roman"/>
          <w:sz w:val="24"/>
          <w:szCs w:val="24"/>
        </w:rPr>
        <w:t>E 1.267.879/SP</w:t>
      </w:r>
      <w:r>
        <w:rPr>
          <w:rFonts w:ascii="Times New Roman" w:hAnsi="Times New Roman" w:cs="Times New Roman"/>
          <w:sz w:val="24"/>
          <w:szCs w:val="24"/>
        </w:rPr>
        <w:t>, reputou que “</w:t>
      </w:r>
      <w:r w:rsidRPr="005670CA">
        <w:rPr>
          <w:rFonts w:ascii="Times New Roman" w:hAnsi="Times New Roman" w:cs="Times New Roman"/>
          <w:sz w:val="24"/>
          <w:szCs w:val="24"/>
        </w:rPr>
        <w:t>É constitucional a obrigatoriedade de imunização por meio de vacina que, registrada em órgão de vigilância sanitária, (i) tenha sido incluída no Programa Nacional de Imunizações, ou (</w:t>
      </w:r>
      <w:proofErr w:type="spellStart"/>
      <w:r w:rsidRPr="005670C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5670CA">
        <w:rPr>
          <w:rFonts w:ascii="Times New Roman" w:hAnsi="Times New Roman" w:cs="Times New Roman"/>
          <w:sz w:val="24"/>
          <w:szCs w:val="24"/>
        </w:rPr>
        <w:t>) tenha sua aplicação obrigatória determinada em lei ou (</w:t>
      </w:r>
      <w:proofErr w:type="spellStart"/>
      <w:r w:rsidRPr="005670CA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5670CA">
        <w:rPr>
          <w:rFonts w:ascii="Times New Roman" w:hAnsi="Times New Roman" w:cs="Times New Roman"/>
          <w:sz w:val="24"/>
          <w:szCs w:val="24"/>
        </w:rPr>
        <w:t>) seja objeto de determinação da União, Estado, Distrito Federal ou Município, com base em consenso médico-científico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670CA">
        <w:rPr>
          <w:rFonts w:ascii="Times New Roman" w:hAnsi="Times New Roman" w:cs="Times New Roman"/>
          <w:sz w:val="24"/>
          <w:szCs w:val="24"/>
        </w:rPr>
        <w:t xml:space="preserve"> Em tais casos, não se caracteriza violação à liberdade de consciência e de convicção filosófica dos pais ou responsáveis, nem tampouco ao poder familiar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33283EFA" w14:textId="2A04C175" w:rsidR="005670CA" w:rsidRDefault="005670CA" w:rsidP="00567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CC9E97" w14:textId="559A9F1D" w:rsidR="005670CA" w:rsidRPr="005670CA" w:rsidRDefault="005670CA" w:rsidP="00567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</w:t>
      </w:r>
      <w:r>
        <w:rPr>
          <w:rFonts w:ascii="Times New Roman" w:hAnsi="Times New Roman" w:cs="Times New Roman"/>
          <w:sz w:val="24"/>
          <w:szCs w:val="24"/>
        </w:rPr>
        <w:t xml:space="preserve"> o Supremo Tribunal Federal (STF), analisando a validade constitucional da Lei 13.979, no bojo da ADI 6586 e da ADI 6587, decidiu que “</w:t>
      </w:r>
      <w:r w:rsidRPr="005670CA">
        <w:rPr>
          <w:rFonts w:ascii="Times New Roman" w:hAnsi="Times New Roman" w:cs="Times New Roman"/>
          <w:sz w:val="24"/>
          <w:szCs w:val="24"/>
        </w:rPr>
        <w:t>(I) A vacinação compulsória não significa vacinação forçada, porquanto facultada sempre a recusa do usuário, podendo, contudo, ser implementada por meio de medidas indiretas, as quais compreendem, dentre outras, a restrição ao exercício de certas atividades ou à frequência de determinados lugares, desde que previstas em lei, ou dela decorrentes, e (i) tenham como base evidências científicas e análises estratégicas pertinentes, (</w:t>
      </w:r>
      <w:proofErr w:type="spellStart"/>
      <w:r w:rsidRPr="005670CA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5670CA">
        <w:rPr>
          <w:rFonts w:ascii="Times New Roman" w:hAnsi="Times New Roman" w:cs="Times New Roman"/>
          <w:sz w:val="24"/>
          <w:szCs w:val="24"/>
        </w:rPr>
        <w:t>) venham acompanhadas de ampla informação sobre a eficácia, segurança e contraindicações dos imunizantes, (</w:t>
      </w:r>
      <w:proofErr w:type="spellStart"/>
      <w:r w:rsidRPr="005670CA">
        <w:rPr>
          <w:rFonts w:ascii="Times New Roman" w:hAnsi="Times New Roman" w:cs="Times New Roman"/>
          <w:sz w:val="24"/>
          <w:szCs w:val="24"/>
        </w:rPr>
        <w:t>iii</w:t>
      </w:r>
      <w:proofErr w:type="spellEnd"/>
      <w:r w:rsidRPr="005670CA">
        <w:rPr>
          <w:rFonts w:ascii="Times New Roman" w:hAnsi="Times New Roman" w:cs="Times New Roman"/>
          <w:sz w:val="24"/>
          <w:szCs w:val="24"/>
        </w:rPr>
        <w:t>) respeitem a dignidade humana e os direitos fundamentais das pessoas, (</w:t>
      </w:r>
      <w:proofErr w:type="spellStart"/>
      <w:r w:rsidRPr="005670CA">
        <w:rPr>
          <w:rFonts w:ascii="Times New Roman" w:hAnsi="Times New Roman" w:cs="Times New Roman"/>
          <w:sz w:val="24"/>
          <w:szCs w:val="24"/>
        </w:rPr>
        <w:t>iv</w:t>
      </w:r>
      <w:proofErr w:type="spellEnd"/>
      <w:r w:rsidRPr="005670CA">
        <w:rPr>
          <w:rFonts w:ascii="Times New Roman" w:hAnsi="Times New Roman" w:cs="Times New Roman"/>
          <w:sz w:val="24"/>
          <w:szCs w:val="24"/>
        </w:rPr>
        <w:t xml:space="preserve">) atendam aos critérios de razoabilidade e proporcionalidade e (v) sejam as vacinas distribuídas universal e gratuitamente; e (II) tais medidas, com as limitações acima </w:t>
      </w:r>
      <w:r w:rsidRPr="005670CA">
        <w:rPr>
          <w:rFonts w:ascii="Times New Roman" w:hAnsi="Times New Roman" w:cs="Times New Roman"/>
          <w:sz w:val="24"/>
          <w:szCs w:val="24"/>
        </w:rPr>
        <w:lastRenderedPageBreak/>
        <w:t>expostas, podem ser implementadas tanto pela União como pelos Estados, Distrito Federal e Municípios, respeitadas as respectivas esferas de competência</w:t>
      </w:r>
      <w:r>
        <w:rPr>
          <w:rFonts w:ascii="Times New Roman" w:hAnsi="Times New Roman" w:cs="Times New Roman"/>
          <w:sz w:val="24"/>
          <w:szCs w:val="24"/>
        </w:rPr>
        <w:t>”;</w:t>
      </w:r>
    </w:p>
    <w:p w14:paraId="137E67AB" w14:textId="01ECFE38" w:rsidR="005670CA" w:rsidRPr="005670CA" w:rsidRDefault="005670CA" w:rsidP="005670C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FC0A57" w14:textId="079A5274" w:rsidR="00851D40" w:rsidRPr="008E682C" w:rsidRDefault="00851D40" w:rsidP="006648B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13B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C913B4">
        <w:rPr>
          <w:rFonts w:ascii="Times New Roman" w:hAnsi="Times New Roman" w:cs="Times New Roman"/>
          <w:sz w:val="24"/>
          <w:szCs w:val="24"/>
        </w:rPr>
        <w:t xml:space="preserve"> que a Defensoria Pública </w:t>
      </w:r>
      <w:r w:rsidR="00E24E93">
        <w:rPr>
          <w:rFonts w:ascii="Times New Roman" w:hAnsi="Times New Roman" w:cs="Times New Roman"/>
          <w:sz w:val="24"/>
          <w:szCs w:val="24"/>
        </w:rPr>
        <w:t>possui, como</w:t>
      </w:r>
      <w:r w:rsidRPr="00C913B4">
        <w:rPr>
          <w:rFonts w:ascii="Times New Roman" w:hAnsi="Times New Roman" w:cs="Times New Roman"/>
          <w:sz w:val="24"/>
          <w:szCs w:val="24"/>
        </w:rPr>
        <w:t xml:space="preserve"> funções institucionais</w:t>
      </w:r>
      <w:r w:rsidR="00E24E93">
        <w:rPr>
          <w:rFonts w:ascii="Times New Roman" w:hAnsi="Times New Roman" w:cs="Times New Roman"/>
          <w:sz w:val="24"/>
          <w:szCs w:val="24"/>
        </w:rPr>
        <w:t>, o dever de</w:t>
      </w:r>
      <w:r w:rsidRPr="00C913B4">
        <w:rPr>
          <w:rFonts w:ascii="Times New Roman" w:hAnsi="Times New Roman" w:cs="Times New Roman"/>
          <w:sz w:val="24"/>
          <w:szCs w:val="24"/>
        </w:rPr>
        <w:t xml:space="preserve"> </w:t>
      </w:r>
      <w:r w:rsidR="006648B2" w:rsidRPr="00C913B4">
        <w:rPr>
          <w:rFonts w:ascii="Times New Roman" w:hAnsi="Times New Roman" w:cs="Times New Roman"/>
          <w:sz w:val="24"/>
          <w:szCs w:val="24"/>
        </w:rPr>
        <w:t xml:space="preserve">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</w:t>
      </w:r>
      <w:r w:rsidR="006648B2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promover ação civil pública e todas as espécies de ações capazes de propiciar a adequada tutela dos direitos difusos, coletivos ou individuais homogêneos quando o resultado da demanda puder beneficiar grupo de pessoas hipossuficientes; </w:t>
      </w:r>
      <w:r w:rsidR="00A8122A" w:rsidRPr="00C913B4">
        <w:rPr>
          <w:rFonts w:ascii="Times New Roman" w:hAnsi="Times New Roman" w:cs="Times New Roman"/>
          <w:color w:val="000000"/>
          <w:sz w:val="24"/>
          <w:szCs w:val="24"/>
        </w:rPr>
        <w:t xml:space="preserve">exercer a defesa dos direitos e interesses individuais, difusos, coletivos e individuais homogêneos e dos direitos do consumidor, na forma do inciso LXXIV do art. 5º da Constituição Federal; promover a mais ampla defesa dos direitos fundamentais dos necessitados, abrangendo seus direitos individuais, coletivos, difusos, sociais, </w:t>
      </w:r>
      <w:r w:rsidR="00A8122A" w:rsidRPr="008E682C">
        <w:rPr>
          <w:rFonts w:ascii="Times New Roman" w:hAnsi="Times New Roman" w:cs="Times New Roman"/>
          <w:sz w:val="24"/>
          <w:szCs w:val="24"/>
        </w:rPr>
        <w:t>econômicos, culturais e ambientais, sendo admissíveis todas as espécies de ações capazes de propiciar sua adequada e efetiva tutela</w:t>
      </w:r>
      <w:r w:rsidRPr="008E682C">
        <w:rPr>
          <w:rFonts w:ascii="Times New Roman" w:hAnsi="Times New Roman" w:cs="Times New Roman"/>
          <w:sz w:val="24"/>
          <w:szCs w:val="24"/>
        </w:rPr>
        <w:t>;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 tudo</w:t>
      </w:r>
      <w:r w:rsidRPr="008E682C">
        <w:rPr>
          <w:rFonts w:ascii="Times New Roman" w:hAnsi="Times New Roman" w:cs="Times New Roman"/>
          <w:sz w:val="24"/>
          <w:szCs w:val="24"/>
        </w:rPr>
        <w:t xml:space="preserve"> visando </w:t>
      </w:r>
      <w:r w:rsidR="00E24E93" w:rsidRPr="008E682C">
        <w:rPr>
          <w:rFonts w:ascii="Times New Roman" w:hAnsi="Times New Roman" w:cs="Times New Roman"/>
          <w:sz w:val="24"/>
          <w:szCs w:val="24"/>
        </w:rPr>
        <w:t xml:space="preserve">a </w:t>
      </w:r>
      <w:r w:rsidRPr="008E682C">
        <w:rPr>
          <w:rFonts w:ascii="Times New Roman" w:hAnsi="Times New Roman" w:cs="Times New Roman"/>
          <w:sz w:val="24"/>
          <w:szCs w:val="24"/>
        </w:rPr>
        <w:t>assegurar às pessoas, sob quaisquer circunstâncias, o exercício pleno de seus direitos e garantias fundamentais</w:t>
      </w:r>
      <w:r w:rsidR="006648B2" w:rsidRPr="008E682C">
        <w:rPr>
          <w:rFonts w:ascii="Times New Roman" w:hAnsi="Times New Roman" w:cs="Times New Roman"/>
          <w:sz w:val="24"/>
          <w:szCs w:val="24"/>
        </w:rPr>
        <w:t>,</w:t>
      </w:r>
      <w:r w:rsidRPr="008E682C">
        <w:rPr>
          <w:rFonts w:ascii="Times New Roman" w:hAnsi="Times New Roman" w:cs="Times New Roman"/>
          <w:sz w:val="24"/>
          <w:szCs w:val="24"/>
        </w:rPr>
        <w:t xml:space="preserve"> conforme o disposto no art. 4º,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II, </w:t>
      </w:r>
      <w:r w:rsidRPr="008E682C">
        <w:rPr>
          <w:rFonts w:ascii="Times New Roman" w:hAnsi="Times New Roman" w:cs="Times New Roman"/>
          <w:sz w:val="24"/>
          <w:szCs w:val="24"/>
        </w:rPr>
        <w:t xml:space="preserve">III, VII, </w:t>
      </w:r>
      <w:r w:rsidR="006648B2" w:rsidRPr="008E682C">
        <w:rPr>
          <w:rFonts w:ascii="Times New Roman" w:hAnsi="Times New Roman" w:cs="Times New Roman"/>
          <w:sz w:val="24"/>
          <w:szCs w:val="24"/>
        </w:rPr>
        <w:t xml:space="preserve">VIII, </w:t>
      </w:r>
      <w:r w:rsidRPr="008E682C">
        <w:rPr>
          <w:rFonts w:ascii="Times New Roman" w:hAnsi="Times New Roman" w:cs="Times New Roman"/>
          <w:sz w:val="24"/>
          <w:szCs w:val="24"/>
        </w:rPr>
        <w:t>X, da Lei Complementar Federal nº 80/94;</w:t>
      </w:r>
    </w:p>
    <w:p w14:paraId="7C53A1DB" w14:textId="2F754DA3" w:rsidR="00286D89" w:rsidRPr="008E682C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CD16614" w14:textId="36C50CC2" w:rsidR="000D075A" w:rsidRPr="008E682C" w:rsidRDefault="00286D89" w:rsidP="00B066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E682C">
        <w:rPr>
          <w:rFonts w:ascii="Times New Roman" w:hAnsi="Times New Roman" w:cs="Times New Roman"/>
          <w:b/>
          <w:bCs/>
          <w:sz w:val="24"/>
          <w:szCs w:val="24"/>
        </w:rPr>
        <w:t>RESOLVE</w:t>
      </w:r>
      <w:r w:rsidRPr="008E682C">
        <w:rPr>
          <w:rFonts w:ascii="Times New Roman" w:hAnsi="Times New Roman" w:cs="Times New Roman"/>
          <w:sz w:val="24"/>
          <w:szCs w:val="24"/>
        </w:rPr>
        <w:t xml:space="preserve"> instaurar</w:t>
      </w:r>
      <w:r w:rsidR="009C084E" w:rsidRPr="008E682C">
        <w:rPr>
          <w:rFonts w:ascii="Times New Roman" w:hAnsi="Times New Roman" w:cs="Times New Roman"/>
          <w:sz w:val="24"/>
          <w:szCs w:val="24"/>
        </w:rPr>
        <w:t xml:space="preserve"> de ofício </w:t>
      </w:r>
      <w:r w:rsidRPr="008E682C">
        <w:rPr>
          <w:rFonts w:ascii="Times New Roman" w:hAnsi="Times New Roman" w:cs="Times New Roman"/>
          <w:sz w:val="24"/>
          <w:szCs w:val="24"/>
        </w:rPr>
        <w:t xml:space="preserve">o presente Procedimento Administrativo </w:t>
      </w:r>
      <w:r w:rsidR="00A22EB5" w:rsidRPr="008E682C">
        <w:rPr>
          <w:rFonts w:ascii="Times New Roman" w:hAnsi="Times New Roman" w:cs="Times New Roman"/>
          <w:sz w:val="24"/>
          <w:szCs w:val="24"/>
        </w:rPr>
        <w:t>de Tutela Coletiva (PTAC)</w:t>
      </w:r>
      <w:r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6F6CD2" w:rsidRPr="008E682C">
        <w:rPr>
          <w:rFonts w:ascii="Times New Roman" w:hAnsi="Times New Roman" w:cs="Times New Roman"/>
          <w:sz w:val="24"/>
          <w:szCs w:val="24"/>
        </w:rPr>
        <w:t>para</w:t>
      </w:r>
      <w:r w:rsidR="009E72DA" w:rsidRPr="008E682C">
        <w:rPr>
          <w:rFonts w:ascii="Times New Roman" w:hAnsi="Times New Roman" w:cs="Times New Roman"/>
          <w:sz w:val="24"/>
          <w:szCs w:val="24"/>
        </w:rPr>
        <w:t>: a)</w:t>
      </w:r>
      <w:r w:rsidR="006F6CD2"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realizar, junto ao Estado de Minas Gerais </w:t>
      </w:r>
      <w:r w:rsidR="008E682C" w:rsidRPr="008E682C">
        <w:rPr>
          <w:rFonts w:ascii="Times New Roman" w:hAnsi="Times New Roman" w:cs="Times New Roman"/>
          <w:sz w:val="24"/>
          <w:szCs w:val="24"/>
        </w:rPr>
        <w:t xml:space="preserve">e </w:t>
      </w:r>
      <w:r w:rsidR="000D075A" w:rsidRPr="008E682C">
        <w:rPr>
          <w:rFonts w:ascii="Times New Roman" w:hAnsi="Times New Roman" w:cs="Times New Roman"/>
          <w:sz w:val="24"/>
          <w:szCs w:val="24"/>
        </w:rPr>
        <w:t>aos</w:t>
      </w:r>
      <w:r w:rsidR="008E682C" w:rsidRPr="008E682C">
        <w:rPr>
          <w:rFonts w:ascii="Times New Roman" w:hAnsi="Times New Roman" w:cs="Times New Roman"/>
          <w:sz w:val="24"/>
          <w:szCs w:val="24"/>
        </w:rPr>
        <w:t xml:space="preserve"> respectivos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 Municípios, diagnóstico de crianças e adolescentes não vacinados no âmbito das unidades escolares; b) acompanhar a política pública de vacinação infantil e sua implementação; c) elaborar, junto aos órgãos públicos competentes, campanhas voltadas à conscientização de pais e responsáveis </w:t>
      </w:r>
      <w:r w:rsidR="008E682C" w:rsidRPr="008E682C">
        <w:rPr>
          <w:rFonts w:ascii="Times New Roman" w:hAnsi="Times New Roman" w:cs="Times New Roman"/>
          <w:sz w:val="24"/>
          <w:szCs w:val="24"/>
        </w:rPr>
        <w:t>quanto</w:t>
      </w:r>
      <w:r w:rsidR="000D075A" w:rsidRPr="008E682C">
        <w:rPr>
          <w:rFonts w:ascii="Times New Roman" w:hAnsi="Times New Roman" w:cs="Times New Roman"/>
          <w:sz w:val="24"/>
          <w:szCs w:val="24"/>
        </w:rPr>
        <w:t xml:space="preserve"> </w:t>
      </w:r>
      <w:r w:rsidR="008E682C" w:rsidRPr="008E682C">
        <w:rPr>
          <w:rFonts w:ascii="Times New Roman" w:hAnsi="Times New Roman" w:cs="Times New Roman"/>
          <w:sz w:val="24"/>
          <w:szCs w:val="24"/>
        </w:rPr>
        <w:t>a</w:t>
      </w:r>
      <w:r w:rsidR="000D075A" w:rsidRPr="008E682C">
        <w:rPr>
          <w:rFonts w:ascii="Times New Roman" w:hAnsi="Times New Roman" w:cs="Times New Roman"/>
          <w:sz w:val="24"/>
          <w:szCs w:val="24"/>
        </w:rPr>
        <w:t>o dever de imunização de filhos e filhas</w:t>
      </w:r>
      <w:r w:rsidR="00094BE7" w:rsidRPr="008E682C">
        <w:rPr>
          <w:rFonts w:ascii="Times New Roman" w:hAnsi="Times New Roman" w:cs="Times New Roman"/>
          <w:sz w:val="24"/>
          <w:szCs w:val="24"/>
        </w:rPr>
        <w:t>; d) desenvolver modelos de ofícios</w:t>
      </w:r>
      <w:r w:rsidR="00802AA4" w:rsidRPr="008E682C">
        <w:rPr>
          <w:rFonts w:ascii="Times New Roman" w:hAnsi="Times New Roman" w:cs="Times New Roman"/>
          <w:sz w:val="24"/>
          <w:szCs w:val="24"/>
        </w:rPr>
        <w:t>, recomendações,</w:t>
      </w:r>
      <w:r w:rsidR="00094BE7" w:rsidRPr="008E682C">
        <w:rPr>
          <w:rFonts w:ascii="Times New Roman" w:hAnsi="Times New Roman" w:cs="Times New Roman"/>
          <w:sz w:val="24"/>
          <w:szCs w:val="24"/>
        </w:rPr>
        <w:t xml:space="preserve"> informes técnico-jurídicos</w:t>
      </w:r>
      <w:r w:rsidR="00802AA4" w:rsidRPr="008E682C">
        <w:rPr>
          <w:rFonts w:ascii="Times New Roman" w:hAnsi="Times New Roman" w:cs="Times New Roman"/>
          <w:sz w:val="24"/>
          <w:szCs w:val="24"/>
        </w:rPr>
        <w:t xml:space="preserve"> e outros instrumentos</w:t>
      </w:r>
      <w:r w:rsidR="00094BE7" w:rsidRPr="008E682C">
        <w:rPr>
          <w:rFonts w:ascii="Times New Roman" w:hAnsi="Times New Roman" w:cs="Times New Roman"/>
          <w:sz w:val="24"/>
          <w:szCs w:val="24"/>
        </w:rPr>
        <w:t xml:space="preserve"> para subsidiar a atuação de Defensoras e Defensores Públicos em relação ao levantamento de dados de cobertura vacinal, controle epidemiológico</w:t>
      </w:r>
      <w:r w:rsidR="00802AA4" w:rsidRPr="008E682C">
        <w:rPr>
          <w:rFonts w:ascii="Times New Roman" w:hAnsi="Times New Roman" w:cs="Times New Roman"/>
          <w:sz w:val="24"/>
          <w:szCs w:val="24"/>
        </w:rPr>
        <w:t xml:space="preserve"> e métodos de fiscalização e estímulo ao cumprimento do dever de proteção vacinal de crianças e adolescentes.</w:t>
      </w:r>
    </w:p>
    <w:p w14:paraId="5DACC10D" w14:textId="42935FEC" w:rsidR="00286D89" w:rsidRPr="008E682C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Para tanto, determina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-se a adoção das seguintes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C6E1A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diligências</w:t>
      </w: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</w:p>
    <w:p w14:paraId="5A7BE040" w14:textId="77777777" w:rsidR="00286D89" w:rsidRPr="008E682C" w:rsidRDefault="00286D89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200825C" w14:textId="1686DE80" w:rsidR="00980FDB" w:rsidRPr="008E682C" w:rsidRDefault="00286D89" w:rsidP="004D3A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E42D1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juntada da</w:t>
      </w:r>
      <w:r w:rsidR="004D3A21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s atas de reuniões já realizadas sobre a temática</w:t>
      </w:r>
      <w:r w:rsidR="00EE42D1"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F12A054" w14:textId="77777777" w:rsidR="00802AA4" w:rsidRPr="008E682C" w:rsidRDefault="00802AA4" w:rsidP="00802AA4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E8DF1ED" w14:textId="7C798964" w:rsidR="00802AA4" w:rsidRPr="008E682C" w:rsidRDefault="00802AA4" w:rsidP="004D3A21">
      <w:pPr>
        <w:pStyle w:val="PargrafodaLista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82C">
        <w:rPr>
          <w:rFonts w:ascii="Times New Roman" w:eastAsia="Times New Roman" w:hAnsi="Times New Roman" w:cs="Times New Roman"/>
          <w:sz w:val="24"/>
          <w:szCs w:val="24"/>
          <w:lang w:eastAsia="pt-BR"/>
        </w:rPr>
        <w:t>a elaboração de instrumentos extrajudiciais (ofícios, recomendações, informes técnico-jurídicos e outros) para subsidiar o trabalho de Defensoras e Defensores Públicos de Saúde e da Criança e Adolescente quanto à cobertura vacinal.</w:t>
      </w:r>
    </w:p>
    <w:p w14:paraId="371D9E3F" w14:textId="77777777" w:rsidR="004D3A21" w:rsidRPr="004D3A21" w:rsidRDefault="004D3A21" w:rsidP="004D3A21">
      <w:pPr>
        <w:pStyle w:val="PargrafodaLista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4BA2D1B0" w14:textId="7A023A58" w:rsidR="00A55A60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Autue-se. Cumpra-se.</w:t>
      </w:r>
    </w:p>
    <w:p w14:paraId="796F4DD5" w14:textId="77777777" w:rsidR="009F7907" w:rsidRPr="009F7907" w:rsidRDefault="009F7907" w:rsidP="009F7907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0247AA89" w14:textId="485E2E3A" w:rsidR="00286D89" w:rsidRPr="00C913B4" w:rsidRDefault="009F7907" w:rsidP="00286D89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Belo Horizonte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/MG, </w:t>
      </w:r>
      <w:r w:rsidR="00E1684F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06 de junho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 2022</w:t>
      </w:r>
      <w:r w:rsidR="00286D89" w:rsidRPr="00C913B4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14:paraId="102FC565" w14:textId="42650D64" w:rsidR="009E72DA" w:rsidRDefault="009E72DA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39BF850D" w14:textId="77777777" w:rsidR="00E1684F" w:rsidRDefault="00E1684F" w:rsidP="00C71A0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t-BR"/>
        </w:rPr>
      </w:pPr>
    </w:p>
    <w:p w14:paraId="7C5B6032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Paulo Cesar Azevedo de Almeida</w:t>
      </w:r>
    </w:p>
    <w:p w14:paraId="58865D2B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Coordenadoria Estratégica em Tutela Coletiva</w:t>
      </w:r>
    </w:p>
    <w:p w14:paraId="35B10FF7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 Público</w:t>
      </w:r>
    </w:p>
    <w:p w14:paraId="64BE4C4C" w14:textId="77777777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proofErr w:type="spellStart"/>
      <w:r w:rsidRPr="00EB73C0">
        <w:rPr>
          <w:rFonts w:ascii="Calibri" w:hAnsi="Calibri" w:cs="Calibri"/>
          <w:b/>
          <w:smallCaps/>
          <w:color w:val="000000"/>
        </w:rPr>
        <w:t>Madep</w:t>
      </w:r>
      <w:proofErr w:type="spellEnd"/>
      <w:r w:rsidRPr="00EB73C0">
        <w:rPr>
          <w:rFonts w:ascii="Calibri" w:hAnsi="Calibri" w:cs="Calibri"/>
          <w:b/>
          <w:smallCaps/>
          <w:color w:val="000000"/>
        </w:rPr>
        <w:t xml:space="preserve"> 883</w:t>
      </w:r>
    </w:p>
    <w:p w14:paraId="04A251D8" w14:textId="6817CCBA" w:rsidR="009F7907" w:rsidRDefault="009F7907" w:rsidP="00802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0B719B9" w14:textId="036027C2" w:rsidR="009F7907" w:rsidRDefault="009F7907" w:rsidP="00802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1AE1DD66" w14:textId="77777777" w:rsidR="00E1684F" w:rsidRDefault="00E1684F" w:rsidP="00802A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14:paraId="2D74988E" w14:textId="3EB5EE9D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 xml:space="preserve">Daniele </w:t>
      </w:r>
      <w:proofErr w:type="spellStart"/>
      <w:r>
        <w:rPr>
          <w:rFonts w:ascii="Calibri" w:hAnsi="Calibri" w:cs="Calibri"/>
          <w:b/>
          <w:smallCaps/>
          <w:color w:val="000000"/>
        </w:rPr>
        <w:t>Bellet</w:t>
      </w:r>
      <w:r w:rsidR="008B7C6C">
        <w:rPr>
          <w:rFonts w:ascii="Calibri" w:hAnsi="Calibri" w:cs="Calibri"/>
          <w:b/>
          <w:smallCaps/>
          <w:color w:val="000000"/>
        </w:rPr>
        <w:t>t</w:t>
      </w:r>
      <w:r>
        <w:rPr>
          <w:rFonts w:ascii="Calibri" w:hAnsi="Calibri" w:cs="Calibri"/>
          <w:b/>
          <w:smallCaps/>
          <w:color w:val="000000"/>
        </w:rPr>
        <w:t>ato</w:t>
      </w:r>
      <w:proofErr w:type="spellEnd"/>
      <w:r>
        <w:rPr>
          <w:rFonts w:ascii="Calibri" w:hAnsi="Calibri" w:cs="Calibri"/>
          <w:b/>
          <w:smallCaps/>
          <w:color w:val="000000"/>
        </w:rPr>
        <w:t xml:space="preserve"> </w:t>
      </w:r>
      <w:proofErr w:type="spellStart"/>
      <w:r>
        <w:rPr>
          <w:rFonts w:ascii="Calibri" w:hAnsi="Calibri" w:cs="Calibri"/>
          <w:b/>
          <w:smallCaps/>
          <w:color w:val="000000"/>
        </w:rPr>
        <w:t>Nesrala</w:t>
      </w:r>
      <w:proofErr w:type="spellEnd"/>
    </w:p>
    <w:p w14:paraId="34437B3C" w14:textId="3D4F3F9A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>
        <w:rPr>
          <w:rFonts w:ascii="Calibri" w:hAnsi="Calibri" w:cs="Calibri"/>
          <w:b/>
          <w:smallCaps/>
          <w:color w:val="000000"/>
        </w:rPr>
        <w:t>Assessora Institucional da Defensoria Pública</w:t>
      </w:r>
      <w:r w:rsidR="008E682C">
        <w:rPr>
          <w:rFonts w:ascii="Calibri" w:hAnsi="Calibri" w:cs="Calibri"/>
          <w:b/>
          <w:smallCaps/>
          <w:color w:val="000000"/>
        </w:rPr>
        <w:t>-</w:t>
      </w:r>
      <w:r>
        <w:rPr>
          <w:rFonts w:ascii="Calibri" w:hAnsi="Calibri" w:cs="Calibri"/>
          <w:b/>
          <w:smallCaps/>
          <w:color w:val="000000"/>
        </w:rPr>
        <w:t>Geral</w:t>
      </w:r>
    </w:p>
    <w:p w14:paraId="232EAC9A" w14:textId="3FCEDE3C" w:rsidR="00802AA4" w:rsidRPr="00EB73C0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000000"/>
        </w:rPr>
      </w:pPr>
      <w:r w:rsidRPr="00EB73C0">
        <w:rPr>
          <w:rFonts w:ascii="Calibri" w:hAnsi="Calibri" w:cs="Calibri"/>
          <w:b/>
          <w:smallCaps/>
          <w:color w:val="000000"/>
        </w:rPr>
        <w:t>Defensor</w:t>
      </w:r>
      <w:r>
        <w:rPr>
          <w:rFonts w:ascii="Calibri" w:hAnsi="Calibri" w:cs="Calibri"/>
          <w:b/>
          <w:smallCaps/>
          <w:color w:val="000000"/>
        </w:rPr>
        <w:t>a</w:t>
      </w:r>
      <w:r w:rsidRPr="00EB73C0">
        <w:rPr>
          <w:rFonts w:ascii="Calibri" w:hAnsi="Calibri" w:cs="Calibri"/>
          <w:b/>
          <w:smallCaps/>
          <w:color w:val="000000"/>
        </w:rPr>
        <w:t xml:space="preserve"> Públic</w:t>
      </w:r>
      <w:r>
        <w:rPr>
          <w:rFonts w:ascii="Calibri" w:hAnsi="Calibri" w:cs="Calibri"/>
          <w:b/>
          <w:smallCaps/>
          <w:color w:val="000000"/>
        </w:rPr>
        <w:t>a</w:t>
      </w:r>
    </w:p>
    <w:p w14:paraId="50A04A64" w14:textId="53E875A1" w:rsidR="00802AA4" w:rsidRPr="00E1392A" w:rsidRDefault="00802AA4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proofErr w:type="spellStart"/>
      <w:r w:rsidRPr="00E1392A">
        <w:rPr>
          <w:rFonts w:ascii="Calibri" w:hAnsi="Calibri" w:cs="Calibri"/>
          <w:b/>
          <w:smallCaps/>
        </w:rPr>
        <w:t>Madep</w:t>
      </w:r>
      <w:proofErr w:type="spellEnd"/>
      <w:r w:rsidRPr="00E1392A">
        <w:rPr>
          <w:rFonts w:ascii="Calibri" w:hAnsi="Calibri" w:cs="Calibri"/>
          <w:b/>
          <w:smallCaps/>
        </w:rPr>
        <w:t xml:space="preserve"> </w:t>
      </w:r>
      <w:r w:rsidR="00E1684F" w:rsidRPr="00E1392A">
        <w:rPr>
          <w:rFonts w:ascii="Calibri" w:hAnsi="Calibri" w:cs="Calibri"/>
          <w:b/>
          <w:smallCaps/>
        </w:rPr>
        <w:t>761</w:t>
      </w:r>
    </w:p>
    <w:p w14:paraId="4929841C" w14:textId="17F57BA1" w:rsid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FF0000"/>
        </w:rPr>
      </w:pPr>
    </w:p>
    <w:p w14:paraId="3F9496AC" w14:textId="77777777" w:rsidR="00E1684F" w:rsidRDefault="00E1684F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FF0000"/>
        </w:rPr>
      </w:pPr>
    </w:p>
    <w:p w14:paraId="0C77E03D" w14:textId="6DE24066" w:rsid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  <w:color w:val="FF0000"/>
        </w:rPr>
      </w:pPr>
    </w:p>
    <w:p w14:paraId="1BCD8AC2" w14:textId="5DD99022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E682C">
        <w:rPr>
          <w:rFonts w:ascii="Calibri" w:hAnsi="Calibri" w:cs="Calibri"/>
          <w:b/>
          <w:smallCaps/>
        </w:rPr>
        <w:t xml:space="preserve">Luciana Bravo </w:t>
      </w:r>
      <w:proofErr w:type="spellStart"/>
      <w:r w:rsidRPr="008E682C">
        <w:rPr>
          <w:rFonts w:ascii="Calibri" w:hAnsi="Calibri" w:cs="Calibri"/>
          <w:b/>
          <w:smallCaps/>
        </w:rPr>
        <w:t>Guerero</w:t>
      </w:r>
      <w:proofErr w:type="spellEnd"/>
    </w:p>
    <w:p w14:paraId="7E7B48D8" w14:textId="18E918CD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E682C">
        <w:rPr>
          <w:rFonts w:ascii="Calibri" w:hAnsi="Calibri" w:cs="Calibri"/>
          <w:b/>
          <w:smallCaps/>
        </w:rPr>
        <w:t>Coordenadora da Câmara de Estudos da Infância e Juventude</w:t>
      </w:r>
    </w:p>
    <w:p w14:paraId="41693362" w14:textId="627BD04A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E682C">
        <w:rPr>
          <w:rFonts w:ascii="Calibri" w:hAnsi="Calibri" w:cs="Calibri"/>
          <w:b/>
          <w:smallCaps/>
        </w:rPr>
        <w:t>Defensora Pública</w:t>
      </w:r>
    </w:p>
    <w:p w14:paraId="42F288F7" w14:textId="5DEA1C39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proofErr w:type="spellStart"/>
      <w:r w:rsidRPr="008E682C">
        <w:rPr>
          <w:rFonts w:ascii="Calibri" w:hAnsi="Calibri" w:cs="Calibri"/>
          <w:b/>
          <w:smallCaps/>
        </w:rPr>
        <w:t>Madep</w:t>
      </w:r>
      <w:proofErr w:type="spellEnd"/>
      <w:r w:rsidRPr="008E682C">
        <w:rPr>
          <w:rFonts w:ascii="Calibri" w:hAnsi="Calibri" w:cs="Calibri"/>
          <w:b/>
          <w:smallCaps/>
        </w:rPr>
        <w:t xml:space="preserve"> 987</w:t>
      </w:r>
    </w:p>
    <w:p w14:paraId="7949AD8A" w14:textId="1A938A7C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29347A8F" w14:textId="65F75411" w:rsid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5C60EAFD" w14:textId="77777777" w:rsidR="00E1684F" w:rsidRPr="008E682C" w:rsidRDefault="00E1684F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</w:p>
    <w:p w14:paraId="2977A2B0" w14:textId="25577638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E682C">
        <w:rPr>
          <w:rFonts w:ascii="Calibri" w:hAnsi="Calibri" w:cs="Calibri"/>
          <w:b/>
          <w:smallCaps/>
        </w:rPr>
        <w:t xml:space="preserve">Bruno </w:t>
      </w:r>
      <w:proofErr w:type="spellStart"/>
      <w:r w:rsidRPr="008E682C">
        <w:rPr>
          <w:rFonts w:ascii="Calibri" w:hAnsi="Calibri" w:cs="Calibri"/>
          <w:b/>
          <w:smallCaps/>
        </w:rPr>
        <w:t>Fiorin</w:t>
      </w:r>
      <w:proofErr w:type="spellEnd"/>
      <w:r w:rsidRPr="008E682C">
        <w:rPr>
          <w:rFonts w:ascii="Calibri" w:hAnsi="Calibri" w:cs="Calibri"/>
          <w:b/>
          <w:smallCaps/>
        </w:rPr>
        <w:t xml:space="preserve"> </w:t>
      </w:r>
      <w:proofErr w:type="spellStart"/>
      <w:r w:rsidRPr="008E682C">
        <w:rPr>
          <w:rFonts w:ascii="Calibri" w:hAnsi="Calibri" w:cs="Calibri"/>
          <w:b/>
          <w:smallCaps/>
        </w:rPr>
        <w:t>Hernig</w:t>
      </w:r>
      <w:proofErr w:type="spellEnd"/>
    </w:p>
    <w:p w14:paraId="275F0362" w14:textId="51DC1BC6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E682C">
        <w:rPr>
          <w:rFonts w:ascii="Calibri" w:hAnsi="Calibri" w:cs="Calibri"/>
          <w:b/>
          <w:smallCaps/>
        </w:rPr>
        <w:t>Secretário da Câmara de Estudos da Infância e Juventude</w:t>
      </w:r>
    </w:p>
    <w:p w14:paraId="04225932" w14:textId="2F0E0247" w:rsidR="008E682C" w:rsidRPr="008E682C" w:rsidRDefault="008E682C" w:rsidP="00802AA4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r w:rsidRPr="008E682C">
        <w:rPr>
          <w:rFonts w:ascii="Calibri" w:hAnsi="Calibri" w:cs="Calibri"/>
          <w:b/>
          <w:smallCaps/>
        </w:rPr>
        <w:t>Defensor Público</w:t>
      </w:r>
    </w:p>
    <w:p w14:paraId="0011DFDD" w14:textId="6E31A27B" w:rsidR="00802AA4" w:rsidRPr="008E682C" w:rsidRDefault="008E682C" w:rsidP="008E682C">
      <w:pPr>
        <w:spacing w:after="0" w:line="240" w:lineRule="auto"/>
        <w:jc w:val="center"/>
        <w:rPr>
          <w:rFonts w:ascii="Calibri" w:hAnsi="Calibri" w:cs="Calibri"/>
          <w:b/>
          <w:smallCaps/>
        </w:rPr>
      </w:pPr>
      <w:proofErr w:type="spellStart"/>
      <w:r w:rsidRPr="008E682C">
        <w:rPr>
          <w:rFonts w:ascii="Calibri" w:hAnsi="Calibri" w:cs="Calibri"/>
          <w:b/>
          <w:smallCaps/>
        </w:rPr>
        <w:t>Madep</w:t>
      </w:r>
      <w:proofErr w:type="spellEnd"/>
      <w:r w:rsidRPr="008E682C">
        <w:rPr>
          <w:rFonts w:ascii="Calibri" w:hAnsi="Calibri" w:cs="Calibri"/>
          <w:b/>
          <w:smallCaps/>
        </w:rPr>
        <w:t xml:space="preserve"> 988</w:t>
      </w:r>
    </w:p>
    <w:sectPr w:rsidR="00802AA4" w:rsidRPr="008E682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70762" w14:textId="77777777" w:rsidR="009E3592" w:rsidRDefault="009E3592">
      <w:pPr>
        <w:spacing w:after="0" w:line="240" w:lineRule="auto"/>
      </w:pPr>
      <w:r>
        <w:separator/>
      </w:r>
    </w:p>
  </w:endnote>
  <w:endnote w:type="continuationSeparator" w:id="0">
    <w:p w14:paraId="35698426" w14:textId="77777777" w:rsidR="009E3592" w:rsidRDefault="009E3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8772523"/>
      <w:docPartObj>
        <w:docPartGallery w:val="Page Numbers (Bottom of Page)"/>
        <w:docPartUnique/>
      </w:docPartObj>
    </w:sdtPr>
    <w:sdtEndPr/>
    <w:sdtContent>
      <w:p w14:paraId="556A7662" w14:textId="77777777" w:rsidR="00E808D3" w:rsidRDefault="004565C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13AB">
          <w:rPr>
            <w:noProof/>
          </w:rPr>
          <w:t>2</w:t>
        </w:r>
        <w:r>
          <w:fldChar w:fldCharType="end"/>
        </w:r>
      </w:p>
    </w:sdtContent>
  </w:sdt>
  <w:p w14:paraId="00292749" w14:textId="4ECB1852" w:rsidR="00472B25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Coordenadoria Estratégica em Tutela Coletiva</w:t>
    </w:r>
  </w:p>
  <w:p w14:paraId="704C6291" w14:textId="41D414A7" w:rsidR="00E808D3" w:rsidRPr="00472B25" w:rsidRDefault="00472B25" w:rsidP="00472B25">
    <w:pPr>
      <w:pStyle w:val="Rodap"/>
      <w:jc w:val="center"/>
      <w:rPr>
        <w:rFonts w:ascii="Times New Roman" w:hAnsi="Times New Roman" w:cs="Times New Roman"/>
      </w:rPr>
    </w:pPr>
    <w:r w:rsidRPr="00472B25">
      <w:rPr>
        <w:rFonts w:ascii="Times New Roman" w:hAnsi="Times New Roman" w:cs="Times New Roman"/>
      </w:rPr>
      <w:t>Rua dos Guajajaras</w:t>
    </w:r>
    <w:r w:rsidR="0049385D" w:rsidRPr="00472B25">
      <w:rPr>
        <w:rFonts w:ascii="Times New Roman" w:hAnsi="Times New Roman" w:cs="Times New Roman"/>
      </w:rPr>
      <w:t xml:space="preserve">, nº </w:t>
    </w:r>
    <w:r w:rsidRPr="00472B25">
      <w:rPr>
        <w:rFonts w:ascii="Times New Roman" w:hAnsi="Times New Roman" w:cs="Times New Roman"/>
      </w:rPr>
      <w:t>1707</w:t>
    </w:r>
    <w:r w:rsidR="0049385D" w:rsidRPr="00472B25">
      <w:rPr>
        <w:rFonts w:ascii="Times New Roman" w:hAnsi="Times New Roman" w:cs="Times New Roman"/>
      </w:rPr>
      <w:t xml:space="preserve">, </w:t>
    </w:r>
    <w:r w:rsidRPr="00472B25">
      <w:rPr>
        <w:rFonts w:ascii="Times New Roman" w:hAnsi="Times New Roman" w:cs="Times New Roman"/>
      </w:rPr>
      <w:t>7º andar,</w:t>
    </w:r>
    <w:r w:rsidR="0049385D" w:rsidRPr="00472B25">
      <w:rPr>
        <w:rFonts w:ascii="Times New Roman" w:hAnsi="Times New Roman" w:cs="Times New Roman"/>
      </w:rPr>
      <w:t xml:space="preserve"> Ba</w:t>
    </w:r>
    <w:r w:rsidRPr="00472B25">
      <w:rPr>
        <w:rFonts w:ascii="Times New Roman" w:hAnsi="Times New Roman" w:cs="Times New Roman"/>
      </w:rPr>
      <w:t>rro Preto, Belo Horizonte</w:t>
    </w:r>
    <w:r w:rsidR="0049385D" w:rsidRPr="00472B25">
      <w:rPr>
        <w:rFonts w:ascii="Times New Roman" w:hAnsi="Times New Roman" w:cs="Times New Roman"/>
      </w:rPr>
      <w:t>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0766E" w14:textId="77777777" w:rsidR="009E3592" w:rsidRDefault="009E3592">
      <w:pPr>
        <w:spacing w:after="0" w:line="240" w:lineRule="auto"/>
      </w:pPr>
      <w:r>
        <w:separator/>
      </w:r>
    </w:p>
  </w:footnote>
  <w:footnote w:type="continuationSeparator" w:id="0">
    <w:p w14:paraId="26C71ECD" w14:textId="77777777" w:rsidR="009E3592" w:rsidRDefault="009E35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FEF0" w14:textId="77777777" w:rsidR="00E808D3" w:rsidRDefault="004565CA" w:rsidP="00E808D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0410B7F" wp14:editId="0A62F3DC">
          <wp:extent cx="1080000" cy="1080000"/>
          <wp:effectExtent l="0" t="0" r="635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pmg_logo_cor-3c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952F203" w14:textId="77777777" w:rsidR="00E808D3" w:rsidRDefault="009E359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3728C"/>
    <w:multiLevelType w:val="hybridMultilevel"/>
    <w:tmpl w:val="8EDE5B6A"/>
    <w:lvl w:ilvl="0" w:tplc="2B1C5D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F11350"/>
    <w:multiLevelType w:val="hybridMultilevel"/>
    <w:tmpl w:val="3D544D64"/>
    <w:lvl w:ilvl="0" w:tplc="0416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1E41E9"/>
    <w:multiLevelType w:val="hybridMultilevel"/>
    <w:tmpl w:val="AFFCE1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0A4C47"/>
    <w:multiLevelType w:val="hybridMultilevel"/>
    <w:tmpl w:val="DB04D3A8"/>
    <w:lvl w:ilvl="0" w:tplc="5978C0F2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5879441">
    <w:abstractNumId w:val="3"/>
  </w:num>
  <w:num w:numId="2" w16cid:durableId="991912096">
    <w:abstractNumId w:val="2"/>
  </w:num>
  <w:num w:numId="3" w16cid:durableId="879319700">
    <w:abstractNumId w:val="1"/>
  </w:num>
  <w:num w:numId="4" w16cid:durableId="1777745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617"/>
    <w:rsid w:val="000058B8"/>
    <w:rsid w:val="00042106"/>
    <w:rsid w:val="000454D8"/>
    <w:rsid w:val="0006102D"/>
    <w:rsid w:val="000724D4"/>
    <w:rsid w:val="00094BE7"/>
    <w:rsid w:val="000955EA"/>
    <w:rsid w:val="000D075A"/>
    <w:rsid w:val="0010321D"/>
    <w:rsid w:val="00112D8E"/>
    <w:rsid w:val="0012603A"/>
    <w:rsid w:val="00137DD2"/>
    <w:rsid w:val="00192DB6"/>
    <w:rsid w:val="001B1C84"/>
    <w:rsid w:val="001B6378"/>
    <w:rsid w:val="001D4D11"/>
    <w:rsid w:val="001E68A4"/>
    <w:rsid w:val="00235232"/>
    <w:rsid w:val="0025773A"/>
    <w:rsid w:val="00284F28"/>
    <w:rsid w:val="00286D89"/>
    <w:rsid w:val="00292BCE"/>
    <w:rsid w:val="002956B5"/>
    <w:rsid w:val="00295B9F"/>
    <w:rsid w:val="0030655F"/>
    <w:rsid w:val="00315414"/>
    <w:rsid w:val="00330811"/>
    <w:rsid w:val="00347B72"/>
    <w:rsid w:val="00366E15"/>
    <w:rsid w:val="003B2AA4"/>
    <w:rsid w:val="0040712F"/>
    <w:rsid w:val="00407D3C"/>
    <w:rsid w:val="0041228A"/>
    <w:rsid w:val="00415897"/>
    <w:rsid w:val="004213AB"/>
    <w:rsid w:val="004565CA"/>
    <w:rsid w:val="00466DD7"/>
    <w:rsid w:val="00472B25"/>
    <w:rsid w:val="004741B3"/>
    <w:rsid w:val="0049385D"/>
    <w:rsid w:val="004D3A21"/>
    <w:rsid w:val="004D3E10"/>
    <w:rsid w:val="00507870"/>
    <w:rsid w:val="0055089B"/>
    <w:rsid w:val="005518B0"/>
    <w:rsid w:val="00556DA9"/>
    <w:rsid w:val="005670CA"/>
    <w:rsid w:val="00571635"/>
    <w:rsid w:val="005754CD"/>
    <w:rsid w:val="005966F9"/>
    <w:rsid w:val="005D2519"/>
    <w:rsid w:val="005E4EA2"/>
    <w:rsid w:val="005F6685"/>
    <w:rsid w:val="005F68F8"/>
    <w:rsid w:val="00634617"/>
    <w:rsid w:val="006546E9"/>
    <w:rsid w:val="00654F46"/>
    <w:rsid w:val="00657086"/>
    <w:rsid w:val="006648B2"/>
    <w:rsid w:val="00695E32"/>
    <w:rsid w:val="006E6471"/>
    <w:rsid w:val="006F6CD2"/>
    <w:rsid w:val="0071495A"/>
    <w:rsid w:val="00735232"/>
    <w:rsid w:val="00760763"/>
    <w:rsid w:val="00765E20"/>
    <w:rsid w:val="00784391"/>
    <w:rsid w:val="00796094"/>
    <w:rsid w:val="007B090D"/>
    <w:rsid w:val="007C4CC9"/>
    <w:rsid w:val="007D1E5B"/>
    <w:rsid w:val="007D7E4A"/>
    <w:rsid w:val="007F1E01"/>
    <w:rsid w:val="00802AA4"/>
    <w:rsid w:val="0081441A"/>
    <w:rsid w:val="008364F5"/>
    <w:rsid w:val="00850DF5"/>
    <w:rsid w:val="00851D40"/>
    <w:rsid w:val="00852F49"/>
    <w:rsid w:val="00883A61"/>
    <w:rsid w:val="008A09B3"/>
    <w:rsid w:val="008B7C6C"/>
    <w:rsid w:val="008C4785"/>
    <w:rsid w:val="008C6E1A"/>
    <w:rsid w:val="008E682C"/>
    <w:rsid w:val="0094437C"/>
    <w:rsid w:val="00980FDB"/>
    <w:rsid w:val="00990E1C"/>
    <w:rsid w:val="009965BF"/>
    <w:rsid w:val="009A5509"/>
    <w:rsid w:val="009C084E"/>
    <w:rsid w:val="009E3592"/>
    <w:rsid w:val="009E72DA"/>
    <w:rsid w:val="009F4BBA"/>
    <w:rsid w:val="009F7907"/>
    <w:rsid w:val="00A12FFA"/>
    <w:rsid w:val="00A22EB5"/>
    <w:rsid w:val="00A26BE2"/>
    <w:rsid w:val="00A427D4"/>
    <w:rsid w:val="00A55A60"/>
    <w:rsid w:val="00A8122A"/>
    <w:rsid w:val="00A8194C"/>
    <w:rsid w:val="00A85ADB"/>
    <w:rsid w:val="00A87A55"/>
    <w:rsid w:val="00A9311C"/>
    <w:rsid w:val="00AB0A07"/>
    <w:rsid w:val="00AD11BA"/>
    <w:rsid w:val="00AD657B"/>
    <w:rsid w:val="00B066D7"/>
    <w:rsid w:val="00B11715"/>
    <w:rsid w:val="00B12C49"/>
    <w:rsid w:val="00B26CDF"/>
    <w:rsid w:val="00B36135"/>
    <w:rsid w:val="00B76E90"/>
    <w:rsid w:val="00BA1D3D"/>
    <w:rsid w:val="00BA2084"/>
    <w:rsid w:val="00BE7E7F"/>
    <w:rsid w:val="00C03720"/>
    <w:rsid w:val="00C33776"/>
    <w:rsid w:val="00C71A03"/>
    <w:rsid w:val="00C76B8D"/>
    <w:rsid w:val="00C913B4"/>
    <w:rsid w:val="00CA3B79"/>
    <w:rsid w:val="00CD0A74"/>
    <w:rsid w:val="00CD4848"/>
    <w:rsid w:val="00CE6048"/>
    <w:rsid w:val="00CF776C"/>
    <w:rsid w:val="00D057F2"/>
    <w:rsid w:val="00D1399F"/>
    <w:rsid w:val="00D163D7"/>
    <w:rsid w:val="00D8005D"/>
    <w:rsid w:val="00DA55FA"/>
    <w:rsid w:val="00DC1CBC"/>
    <w:rsid w:val="00DD24C7"/>
    <w:rsid w:val="00E1392A"/>
    <w:rsid w:val="00E1684F"/>
    <w:rsid w:val="00E16C9B"/>
    <w:rsid w:val="00E24E93"/>
    <w:rsid w:val="00E4163D"/>
    <w:rsid w:val="00E46C0B"/>
    <w:rsid w:val="00E711DB"/>
    <w:rsid w:val="00EB3F35"/>
    <w:rsid w:val="00EC7C26"/>
    <w:rsid w:val="00EE42D1"/>
    <w:rsid w:val="00F34E7B"/>
    <w:rsid w:val="00F4624A"/>
    <w:rsid w:val="00FC1987"/>
    <w:rsid w:val="00FD4893"/>
    <w:rsid w:val="00FD675D"/>
    <w:rsid w:val="00FE6DF7"/>
    <w:rsid w:val="0DC1C3AE"/>
    <w:rsid w:val="6F17F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68DF7B"/>
  <w15:docId w15:val="{8411BDDA-A10E-48AB-B23E-D810C57D5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ascii="Calibri" w:eastAsia="Times New Roman" w:hAnsi="Calibri" w:cs="Calibri"/>
      <w:b/>
      <w:bCs/>
      <w:color w:val="000000" w:themeColor="text1"/>
      <w:sz w:val="23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1EFFFE3-3167-4BDF-974F-587EA0889A53}"/>
</file>

<file path=customXml/itemProps2.xml><?xml version="1.0" encoding="utf-8"?>
<ds:datastoreItem xmlns:ds="http://schemas.openxmlformats.org/officeDocument/2006/customXml" ds:itemID="{41BCE9E6-E0F9-4571-B232-4B47472BF7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4729</TotalTime>
  <Pages>6</Pages>
  <Words>1702</Words>
  <Characters>9196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defensor</dc:creator>
  <cp:lastModifiedBy>Paulo Almeida</cp:lastModifiedBy>
  <cp:revision>3906</cp:revision>
  <cp:lastPrinted>2019-03-19T18:19:00Z</cp:lastPrinted>
  <dcterms:created xsi:type="dcterms:W3CDTF">2022-01-17T12:14:00Z</dcterms:created>
  <dcterms:modified xsi:type="dcterms:W3CDTF">2022-06-06T19:22:00Z</dcterms:modified>
</cp:coreProperties>
</file>